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78" w:rsidRPr="00530978" w:rsidRDefault="00530978" w:rsidP="00530978">
      <w:pPr>
        <w:jc w:val="center"/>
        <w:rPr>
          <w:rFonts w:ascii="宋体" w:eastAsia="宋体" w:hAnsi="宋体" w:cs="宋体"/>
          <w:b/>
          <w:bCs/>
          <w:color w:val="000000"/>
          <w:kern w:val="0"/>
          <w:sz w:val="28"/>
          <w:szCs w:val="28"/>
          <w:lang w:bidi="ar"/>
        </w:rPr>
      </w:pPr>
      <w:r w:rsidRPr="00530978">
        <w:rPr>
          <w:rFonts w:ascii="黑体" w:eastAsia="黑体" w:hAnsi="黑体" w:cs="黑体" w:hint="eastAsia"/>
          <w:b/>
          <w:bCs/>
          <w:color w:val="000000"/>
          <w:kern w:val="0"/>
          <w:sz w:val="28"/>
          <w:szCs w:val="28"/>
          <w:lang w:bidi="ar"/>
        </w:rPr>
        <w:t>国有资产管理绩效评价表1</w:t>
      </w:r>
    </w:p>
    <w:tbl>
      <w:tblPr>
        <w:tblStyle w:val="1"/>
        <w:tblW w:w="9806" w:type="dxa"/>
        <w:tblInd w:w="-342" w:type="dxa"/>
        <w:tblLayout w:type="fixed"/>
        <w:tblLook w:val="04A0" w:firstRow="1" w:lastRow="0" w:firstColumn="1" w:lastColumn="0" w:noHBand="0" w:noVBand="1"/>
      </w:tblPr>
      <w:tblGrid>
        <w:gridCol w:w="687"/>
        <w:gridCol w:w="1068"/>
        <w:gridCol w:w="2125"/>
        <w:gridCol w:w="407"/>
        <w:gridCol w:w="3818"/>
        <w:gridCol w:w="709"/>
        <w:gridCol w:w="992"/>
      </w:tblGrid>
      <w:tr w:rsidR="00530978" w:rsidRPr="00530978" w:rsidTr="00586CCA">
        <w:tc>
          <w:tcPr>
            <w:tcW w:w="687"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一级指标</w:t>
            </w:r>
          </w:p>
        </w:tc>
        <w:tc>
          <w:tcPr>
            <w:tcW w:w="1068"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二级</w:t>
            </w:r>
          </w:p>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指标</w:t>
            </w:r>
          </w:p>
        </w:tc>
        <w:tc>
          <w:tcPr>
            <w:tcW w:w="2125"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评价内容</w:t>
            </w:r>
          </w:p>
        </w:tc>
        <w:tc>
          <w:tcPr>
            <w:tcW w:w="407"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分值</w:t>
            </w:r>
          </w:p>
        </w:tc>
        <w:tc>
          <w:tcPr>
            <w:tcW w:w="3818"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评分标准</w:t>
            </w:r>
          </w:p>
        </w:tc>
        <w:tc>
          <w:tcPr>
            <w:tcW w:w="709"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自评得分</w:t>
            </w:r>
          </w:p>
        </w:tc>
        <w:tc>
          <w:tcPr>
            <w:tcW w:w="992" w:type="dxa"/>
            <w:vAlign w:val="center"/>
          </w:tcPr>
          <w:p w:rsidR="00216534" w:rsidRPr="00216534" w:rsidRDefault="00216534" w:rsidP="00216534">
            <w:pPr>
              <w:jc w:val="center"/>
              <w:rPr>
                <w:rFonts w:ascii="黑体" w:eastAsia="黑体" w:hAnsi="黑体" w:cs="黑体"/>
                <w:b/>
                <w:bCs/>
                <w:color w:val="000000"/>
                <w:kern w:val="0"/>
                <w:sz w:val="18"/>
                <w:szCs w:val="18"/>
                <w:lang w:bidi="ar"/>
              </w:rPr>
            </w:pPr>
            <w:r w:rsidRPr="00216534">
              <w:rPr>
                <w:rFonts w:ascii="黑体" w:eastAsia="黑体" w:hAnsi="黑体" w:cs="黑体"/>
                <w:b/>
                <w:bCs/>
                <w:color w:val="000000"/>
                <w:kern w:val="0"/>
                <w:sz w:val="18"/>
                <w:szCs w:val="18"/>
                <w:lang w:bidi="ar"/>
              </w:rPr>
              <w:t>资料</w:t>
            </w:r>
          </w:p>
          <w:p w:rsidR="00530978" w:rsidRPr="00530978" w:rsidRDefault="00216534" w:rsidP="00216534">
            <w:pPr>
              <w:jc w:val="center"/>
              <w:rPr>
                <w:rFonts w:ascii="黑体" w:eastAsia="黑体" w:hAnsi="黑体" w:cs="黑体"/>
                <w:b/>
                <w:bCs/>
                <w:color w:val="000000"/>
                <w:kern w:val="0"/>
                <w:sz w:val="18"/>
                <w:szCs w:val="18"/>
                <w:lang w:bidi="ar"/>
              </w:rPr>
            </w:pPr>
            <w:r w:rsidRPr="00216534">
              <w:rPr>
                <w:rFonts w:ascii="黑体" w:eastAsia="黑体" w:hAnsi="黑体" w:cs="黑体"/>
                <w:b/>
                <w:bCs/>
                <w:color w:val="000000"/>
                <w:kern w:val="0"/>
                <w:sz w:val="18"/>
                <w:szCs w:val="18"/>
                <w:lang w:bidi="ar"/>
              </w:rPr>
              <w:t>提供</w:t>
            </w:r>
          </w:p>
        </w:tc>
      </w:tr>
      <w:tr w:rsidR="00530978" w:rsidRPr="00530978" w:rsidTr="00586CCA">
        <w:trPr>
          <w:trHeight w:val="615"/>
        </w:trPr>
        <w:tc>
          <w:tcPr>
            <w:tcW w:w="687" w:type="dxa"/>
            <w:vMerge w:val="restart"/>
            <w:vAlign w:val="center"/>
          </w:tcPr>
          <w:p w:rsidR="00530978" w:rsidRPr="00530978" w:rsidRDefault="00530978" w:rsidP="00530978">
            <w:pPr>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基础管理</w:t>
            </w:r>
          </w:p>
          <w:p w:rsidR="00530978" w:rsidRPr="00530978" w:rsidRDefault="00530978" w:rsidP="00530978">
            <w:pPr>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24分</w:t>
            </w:r>
          </w:p>
        </w:tc>
        <w:tc>
          <w:tcPr>
            <w:tcW w:w="1068" w:type="dxa"/>
            <w:vMerge w:val="restart"/>
            <w:vAlign w:val="center"/>
          </w:tcPr>
          <w:p w:rsidR="00530978" w:rsidRPr="00530978" w:rsidRDefault="00530978" w:rsidP="00530978">
            <w:pPr>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管理体制</w:t>
            </w:r>
          </w:p>
          <w:p w:rsidR="00530978" w:rsidRPr="00530978" w:rsidRDefault="00530978" w:rsidP="00530978">
            <w:pPr>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4分</w:t>
            </w:r>
          </w:p>
        </w:tc>
        <w:tc>
          <w:tcPr>
            <w:tcW w:w="2125" w:type="dxa"/>
            <w:vAlign w:val="center"/>
          </w:tcPr>
          <w:p w:rsidR="00530978" w:rsidRPr="00530978" w:rsidRDefault="00530978" w:rsidP="00530978">
            <w:pPr>
              <w:widowControl/>
              <w:spacing w:after="120" w:line="21" w:lineRule="atLeast"/>
              <w:rPr>
                <w:rFonts w:ascii="Calibri" w:hAnsi="Calibri"/>
                <w:kern w:val="0"/>
                <w:sz w:val="16"/>
                <w:szCs w:val="16"/>
              </w:rPr>
            </w:pPr>
            <w:r w:rsidRPr="00530978">
              <w:rPr>
                <w:rFonts w:ascii="仿宋" w:eastAsia="仿宋" w:hAnsi="仿宋" w:cs="仿宋" w:hint="eastAsia"/>
                <w:kern w:val="0"/>
                <w:sz w:val="19"/>
                <w:szCs w:val="19"/>
                <w:lang w:bidi="ar"/>
              </w:rPr>
              <w:t>单位成立国有资产管理工作领导小组</w:t>
            </w:r>
          </w:p>
        </w:tc>
        <w:tc>
          <w:tcPr>
            <w:tcW w:w="407" w:type="dxa"/>
            <w:vAlign w:val="center"/>
          </w:tcPr>
          <w:p w:rsidR="00530978" w:rsidRPr="00530978" w:rsidRDefault="00530978" w:rsidP="00530978">
            <w:pPr>
              <w:widowControl/>
              <w:spacing w:after="120" w:line="21" w:lineRule="atLeast"/>
              <w:jc w:val="center"/>
              <w:rPr>
                <w:rFonts w:ascii="Calibri" w:hAnsi="Calibri"/>
                <w:kern w:val="0"/>
                <w:sz w:val="16"/>
                <w:szCs w:val="16"/>
              </w:rPr>
            </w:pPr>
            <w:r w:rsidRPr="00530978">
              <w:rPr>
                <w:rFonts w:ascii="仿宋" w:eastAsia="仿宋" w:hAnsi="仿宋" w:cs="仿宋" w:hint="eastAsia"/>
                <w:kern w:val="0"/>
                <w:sz w:val="19"/>
                <w:szCs w:val="19"/>
                <w:lang w:bidi="ar"/>
              </w:rPr>
              <w:t>2</w:t>
            </w:r>
          </w:p>
        </w:tc>
        <w:tc>
          <w:tcPr>
            <w:tcW w:w="3818" w:type="dxa"/>
            <w:vAlign w:val="center"/>
          </w:tcPr>
          <w:p w:rsidR="00530978" w:rsidRPr="00530978" w:rsidRDefault="00530978" w:rsidP="00530978">
            <w:pPr>
              <w:widowControl/>
              <w:spacing w:after="120" w:line="21" w:lineRule="atLeast"/>
              <w:rPr>
                <w:rFonts w:ascii="Calibri" w:hAnsi="Calibri"/>
                <w:kern w:val="0"/>
                <w:sz w:val="16"/>
                <w:szCs w:val="16"/>
              </w:rPr>
            </w:pPr>
            <w:r w:rsidRPr="00530978">
              <w:rPr>
                <w:rFonts w:ascii="仿宋" w:eastAsia="仿宋" w:hAnsi="仿宋" w:cs="仿宋" w:hint="eastAsia"/>
                <w:kern w:val="0"/>
                <w:sz w:val="19"/>
                <w:szCs w:val="19"/>
                <w:lang w:bidi="ar"/>
              </w:rPr>
              <w:t>指定一名单位负责人分管国有资产管理工作。</w:t>
            </w:r>
          </w:p>
        </w:tc>
        <w:tc>
          <w:tcPr>
            <w:tcW w:w="709" w:type="dxa"/>
          </w:tcPr>
          <w:p w:rsidR="00530978" w:rsidRPr="008C483A" w:rsidRDefault="00530978" w:rsidP="00530978">
            <w:pPr>
              <w:jc w:val="left"/>
              <w:rPr>
                <w:rFonts w:ascii="仿宋" w:eastAsia="仿宋" w:hAnsi="仿宋" w:cs="仿宋"/>
                <w:b/>
                <w:bCs/>
                <w:color w:val="000000"/>
                <w:kern w:val="0"/>
                <w:sz w:val="15"/>
                <w:szCs w:val="15"/>
                <w:lang w:bidi="ar"/>
              </w:rPr>
            </w:pPr>
          </w:p>
        </w:tc>
        <w:tc>
          <w:tcPr>
            <w:tcW w:w="992"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2125" w:type="dxa"/>
            <w:vAlign w:val="center"/>
          </w:tcPr>
          <w:p w:rsidR="00530978" w:rsidRPr="00530978" w:rsidRDefault="00530978" w:rsidP="00530978">
            <w:pPr>
              <w:widowControl/>
              <w:spacing w:after="120" w:line="21" w:lineRule="atLeast"/>
              <w:rPr>
                <w:rFonts w:ascii="Calibri" w:hAnsi="Calibri"/>
                <w:kern w:val="0"/>
                <w:sz w:val="16"/>
                <w:szCs w:val="16"/>
              </w:rPr>
            </w:pPr>
            <w:r w:rsidRPr="00530978">
              <w:rPr>
                <w:rFonts w:ascii="仿宋" w:eastAsia="仿宋" w:hAnsi="仿宋" w:cs="仿宋" w:hint="eastAsia"/>
                <w:kern w:val="0"/>
                <w:sz w:val="19"/>
                <w:szCs w:val="19"/>
                <w:lang w:bidi="ar"/>
              </w:rPr>
              <w:t>有集体决策的国有资产管理领导机制</w:t>
            </w:r>
          </w:p>
        </w:tc>
        <w:tc>
          <w:tcPr>
            <w:tcW w:w="407" w:type="dxa"/>
            <w:vAlign w:val="center"/>
          </w:tcPr>
          <w:p w:rsidR="00530978" w:rsidRPr="00530978" w:rsidRDefault="00530978" w:rsidP="00530978">
            <w:pPr>
              <w:widowControl/>
              <w:spacing w:after="120" w:line="21" w:lineRule="atLeast"/>
              <w:jc w:val="center"/>
              <w:rPr>
                <w:rFonts w:ascii="Calibri" w:hAnsi="Calibri"/>
                <w:kern w:val="0"/>
                <w:sz w:val="16"/>
                <w:szCs w:val="16"/>
              </w:rPr>
            </w:pPr>
            <w:r w:rsidRPr="00530978">
              <w:rPr>
                <w:rFonts w:ascii="仿宋" w:eastAsia="仿宋" w:hAnsi="仿宋" w:cs="仿宋" w:hint="eastAsia"/>
                <w:kern w:val="0"/>
                <w:sz w:val="19"/>
                <w:szCs w:val="19"/>
                <w:lang w:bidi="ar"/>
              </w:rPr>
              <w:t>2</w:t>
            </w:r>
          </w:p>
        </w:tc>
        <w:tc>
          <w:tcPr>
            <w:tcW w:w="3818" w:type="dxa"/>
            <w:vAlign w:val="center"/>
          </w:tcPr>
          <w:p w:rsidR="00530978" w:rsidRPr="00530978" w:rsidRDefault="00530978" w:rsidP="00530978">
            <w:pPr>
              <w:widowControl/>
              <w:spacing w:after="120" w:line="21" w:lineRule="atLeast"/>
              <w:rPr>
                <w:rFonts w:ascii="Calibri" w:hAnsi="Calibri"/>
                <w:kern w:val="0"/>
                <w:sz w:val="16"/>
                <w:szCs w:val="16"/>
              </w:rPr>
            </w:pPr>
            <w:r w:rsidRPr="00530978">
              <w:rPr>
                <w:rFonts w:ascii="仿宋" w:eastAsia="仿宋" w:hAnsi="仿宋" w:cs="仿宋" w:hint="eastAsia"/>
                <w:kern w:val="0"/>
                <w:sz w:val="19"/>
                <w:szCs w:val="19"/>
                <w:lang w:bidi="ar"/>
              </w:rPr>
              <w:t>资产管理集体决定，每年资产管理工作会议不少于2次，有资产管理的会议记录。</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rPr>
          <w:trHeight w:val="863"/>
        </w:trPr>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管理队伍</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6分</w:t>
            </w:r>
          </w:p>
        </w:tc>
        <w:tc>
          <w:tcPr>
            <w:tcW w:w="2125"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配备兼职资产管理人员，岗位责任明确</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资产管理人员相对稳定，配备满足需要的兼职资产管理人员。资产管理员熟练掌握资产管理业务，管理责任心强。</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6B47F0" w:rsidP="00530978">
            <w:pPr>
              <w:jc w:val="left"/>
              <w:rPr>
                <w:rFonts w:ascii="仿宋" w:eastAsia="仿宋" w:hAnsi="仿宋" w:cs="仿宋"/>
                <w:b/>
                <w:bCs/>
                <w:color w:val="000000"/>
                <w:kern w:val="0"/>
                <w:sz w:val="18"/>
                <w:szCs w:val="18"/>
                <w:lang w:bidi="ar"/>
              </w:rPr>
            </w:pPr>
            <w:r w:rsidRPr="006B47F0">
              <w:rPr>
                <w:rFonts w:ascii="仿宋" w:eastAsia="仿宋" w:hAnsi="仿宋" w:cs="仿宋" w:hint="eastAsia"/>
                <w:kern w:val="0"/>
                <w:sz w:val="15"/>
                <w:szCs w:val="15"/>
                <w:lang w:bidi="ar"/>
              </w:rPr>
              <w:t>无需提供</w:t>
            </w:r>
          </w:p>
        </w:tc>
      </w:tr>
      <w:tr w:rsidR="00530978" w:rsidRPr="00530978" w:rsidTr="00586CCA">
        <w:trPr>
          <w:trHeight w:val="936"/>
        </w:trPr>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参加学校及上级主管部门组织的资产管理业务培训</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分管资产负责人以及资产管理员能积极参加学校及上级主管部门组织的资产管理业务培训、会议等。</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952E3E" w:rsidP="00530978">
            <w:pPr>
              <w:jc w:val="left"/>
              <w:rPr>
                <w:rFonts w:ascii="仿宋" w:eastAsia="仿宋" w:hAnsi="仿宋" w:cs="仿宋"/>
                <w:b/>
                <w:bCs/>
                <w:color w:val="000000"/>
                <w:kern w:val="0"/>
                <w:sz w:val="18"/>
                <w:szCs w:val="18"/>
                <w:lang w:bidi="ar"/>
              </w:rPr>
            </w:pPr>
            <w:r w:rsidRPr="006B47F0">
              <w:rPr>
                <w:rFonts w:ascii="仿宋" w:eastAsia="仿宋" w:hAnsi="仿宋" w:cs="仿宋" w:hint="eastAsia"/>
                <w:kern w:val="0"/>
                <w:sz w:val="15"/>
                <w:szCs w:val="15"/>
                <w:lang w:bidi="ar"/>
              </w:rPr>
              <w:t>无需提供</w:t>
            </w:r>
          </w:p>
        </w:tc>
      </w:tr>
      <w:tr w:rsidR="00530978" w:rsidRPr="00530978" w:rsidTr="00586CCA">
        <w:trPr>
          <w:trHeight w:val="955"/>
        </w:trPr>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管理制度</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14分</w:t>
            </w:r>
          </w:p>
        </w:tc>
        <w:tc>
          <w:tcPr>
            <w:tcW w:w="2125" w:type="dxa"/>
            <w:vAlign w:val="center"/>
          </w:tcPr>
          <w:p w:rsidR="00530978" w:rsidRPr="00530978" w:rsidRDefault="00530978" w:rsidP="00530978">
            <w:pPr>
              <w:widowControl/>
              <w:spacing w:after="120" w:line="21" w:lineRule="atLeas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根据学校国有资产管理办法，制定本单位实施细则</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3</w:t>
            </w:r>
          </w:p>
        </w:tc>
        <w:tc>
          <w:tcPr>
            <w:tcW w:w="3818" w:type="dxa"/>
            <w:vAlign w:val="center"/>
          </w:tcPr>
          <w:p w:rsidR="00530978" w:rsidRPr="00530978" w:rsidRDefault="00530978" w:rsidP="00530978">
            <w:pPr>
              <w:widowControl/>
              <w:spacing w:after="120" w:line="21" w:lineRule="atLeas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根据学校采购、资产管理等办法，制定本单位实施细则。有1项加1分。</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5F067D" w:rsidP="00530978">
            <w:pPr>
              <w:jc w:val="left"/>
              <w:rPr>
                <w:rFonts w:ascii="仿宋" w:eastAsia="仿宋" w:hAnsi="仿宋" w:cs="仿宋"/>
                <w:b/>
                <w:bCs/>
                <w:color w:val="000000"/>
                <w:kern w:val="0"/>
                <w:sz w:val="18"/>
                <w:szCs w:val="18"/>
                <w:lang w:bidi="ar"/>
              </w:rPr>
            </w:pPr>
            <w:r w:rsidRPr="002F7F40">
              <w:rPr>
                <w:rFonts w:ascii="仿宋" w:eastAsia="仿宋" w:hAnsi="仿宋" w:cs="仿宋" w:hint="eastAsia"/>
                <w:kern w:val="0"/>
                <w:sz w:val="15"/>
                <w:szCs w:val="15"/>
                <w:lang w:bidi="ar"/>
              </w:rPr>
              <w:t>只提供评价年度新增办法。</w:t>
            </w:r>
          </w:p>
        </w:tc>
      </w:tr>
      <w:tr w:rsidR="00530978" w:rsidRPr="00530978" w:rsidTr="00586CCA">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Merge w:val="restart"/>
            <w:vAlign w:val="center"/>
          </w:tcPr>
          <w:p w:rsidR="00530978" w:rsidRPr="00530978" w:rsidRDefault="00530978" w:rsidP="00530978">
            <w:pPr>
              <w:widowControl/>
              <w:spacing w:after="120" w:line="21" w:lineRule="atLeas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严格执行学校资产管理制度</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3</w:t>
            </w:r>
          </w:p>
        </w:tc>
        <w:tc>
          <w:tcPr>
            <w:tcW w:w="3818" w:type="dxa"/>
            <w:vAlign w:val="center"/>
          </w:tcPr>
          <w:p w:rsidR="00530978" w:rsidRPr="00530978" w:rsidRDefault="00530978" w:rsidP="00530978">
            <w:pPr>
              <w:widowControl/>
              <w:spacing w:after="120" w:line="21" w:lineRule="atLeas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按时规范上报各项报告、资料等。</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984A10"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8C483A">
              <w:rPr>
                <w:rFonts w:ascii="仿宋" w:eastAsia="仿宋" w:hAnsi="仿宋" w:cs="仿宋" w:hint="eastAsia"/>
                <w:kern w:val="0"/>
                <w:sz w:val="15"/>
                <w:szCs w:val="15"/>
                <w:lang w:bidi="ar"/>
              </w:rPr>
              <w:t>需提供</w:t>
            </w:r>
          </w:p>
        </w:tc>
      </w:tr>
      <w:tr w:rsidR="00530978" w:rsidRPr="00530978" w:rsidTr="00586CCA">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Merge/>
            <w:vAlign w:val="center"/>
          </w:tcPr>
          <w:p w:rsidR="00530978" w:rsidRPr="00530978" w:rsidRDefault="00530978" w:rsidP="00530978">
            <w:pPr>
              <w:widowControl/>
              <w:spacing w:after="120" w:line="21" w:lineRule="atLeast"/>
              <w:rPr>
                <w:rFonts w:ascii="仿宋" w:eastAsia="仿宋" w:hAnsi="仿宋" w:cs="仿宋"/>
                <w:kern w:val="0"/>
                <w:sz w:val="19"/>
                <w:szCs w:val="19"/>
                <w:lang w:bidi="ar"/>
              </w:rPr>
            </w:pP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3</w:t>
            </w:r>
          </w:p>
        </w:tc>
        <w:tc>
          <w:tcPr>
            <w:tcW w:w="3818" w:type="dxa"/>
            <w:vAlign w:val="center"/>
          </w:tcPr>
          <w:p w:rsidR="00530978" w:rsidRPr="00530978" w:rsidRDefault="00530978" w:rsidP="00530978">
            <w:pPr>
              <w:widowControl/>
              <w:spacing w:after="120" w:line="21" w:lineRule="atLeas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各类资产资料齐全，档案管理规范。</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9F701E"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8C483A">
              <w:rPr>
                <w:rFonts w:ascii="仿宋" w:eastAsia="仿宋" w:hAnsi="仿宋" w:cs="仿宋" w:hint="eastAsia"/>
                <w:kern w:val="0"/>
                <w:sz w:val="15"/>
                <w:szCs w:val="15"/>
                <w:lang w:bidi="ar"/>
              </w:rPr>
              <w:t>需提供</w:t>
            </w:r>
          </w:p>
        </w:tc>
      </w:tr>
      <w:tr w:rsidR="00530978" w:rsidRPr="00530978" w:rsidTr="00586CCA">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Merge/>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5</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自行采购、内部验收资料及时</w:t>
            </w:r>
            <w:proofErr w:type="gramStart"/>
            <w:r w:rsidRPr="00530978">
              <w:rPr>
                <w:rFonts w:ascii="仿宋" w:eastAsia="仿宋" w:hAnsi="仿宋" w:cs="仿宋" w:hint="eastAsia"/>
                <w:color w:val="333333"/>
                <w:kern w:val="0"/>
                <w:sz w:val="19"/>
                <w:szCs w:val="19"/>
                <w:lang w:bidi="ar"/>
              </w:rPr>
              <w:t>完整上传项目</w:t>
            </w:r>
            <w:proofErr w:type="gramEnd"/>
            <w:r w:rsidRPr="00530978">
              <w:rPr>
                <w:rFonts w:ascii="仿宋" w:eastAsia="仿宋" w:hAnsi="仿宋" w:cs="仿宋" w:hint="eastAsia"/>
                <w:color w:val="333333"/>
                <w:kern w:val="0"/>
                <w:sz w:val="19"/>
                <w:szCs w:val="19"/>
                <w:lang w:bidi="ar"/>
              </w:rPr>
              <w:t>资料管理系统。</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6903D4"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rPr>
          <w:trHeight w:val="670"/>
        </w:trPr>
        <w:tc>
          <w:tcPr>
            <w:tcW w:w="687" w:type="dxa"/>
            <w:vMerge w:val="restart"/>
            <w:vAlign w:val="center"/>
          </w:tcPr>
          <w:p w:rsidR="00530978" w:rsidRPr="00530978" w:rsidRDefault="00530978" w:rsidP="00530978">
            <w:pPr>
              <w:jc w:val="left"/>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过程管理</w:t>
            </w:r>
          </w:p>
          <w:p w:rsidR="00530978" w:rsidRPr="00530978" w:rsidRDefault="00530978" w:rsidP="00530978">
            <w:pPr>
              <w:jc w:val="left"/>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56分</w:t>
            </w: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资产配置</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10分</w:t>
            </w:r>
          </w:p>
        </w:tc>
        <w:tc>
          <w:tcPr>
            <w:tcW w:w="2125"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一般设备配置计划编制及时规范</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年度资产配置计划编制规范，申报及时，严格执行。</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9F701E"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8C483A">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p>
        </w:tc>
        <w:tc>
          <w:tcPr>
            <w:tcW w:w="2125"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自行采购程序规范</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自行采购的程序规范，资料齐全,签订合同并严格履行。</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8C3338"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Merge w:val="restart"/>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购置大宗的一般设备、仪器、材料等，以及进行基本建设和大型修缮，应当组织考察论证</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一次性购置十万元以上大宗的一般设备、仪器、材料等要有可行性论证报告。</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Merge/>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进行基本建设和大型修缮的，应当组织考察论证并提供报告。</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资产使用27分</w:t>
            </w:r>
          </w:p>
        </w:tc>
        <w:tc>
          <w:tcPr>
            <w:tcW w:w="2125"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资产使用部门和使用人要确保资产的安全完整</w:t>
            </w:r>
          </w:p>
        </w:tc>
        <w:tc>
          <w:tcPr>
            <w:tcW w:w="407"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每件资产责任到人，没有出现账实不符、权责不清等情况，标签粘贴规范。</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4408B2"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各项资产信息录入及时、准确、完整</w:t>
            </w:r>
          </w:p>
        </w:tc>
        <w:tc>
          <w:tcPr>
            <w:tcW w:w="407"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各项固定资产、无形资产、低值耐用品等资产信息在系统中录入准确、完整、及时，附件上传完整。</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36297A"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实施动态管理，及时更新数据</w:t>
            </w:r>
          </w:p>
        </w:tc>
        <w:tc>
          <w:tcPr>
            <w:tcW w:w="407"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人员调动、调离、退休后，资产存放地点等变动，及时更新数据。</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75736E"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rPr>
          <w:trHeight w:val="660"/>
        </w:trPr>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Calibri" w:hAnsi="Calibri"/>
                <w:kern w:val="0"/>
                <w:sz w:val="16"/>
                <w:szCs w:val="16"/>
              </w:rPr>
            </w:pPr>
            <w:r w:rsidRPr="00530978">
              <w:rPr>
                <w:rFonts w:ascii="仿宋" w:eastAsia="仿宋" w:hAnsi="仿宋" w:cs="仿宋" w:hint="eastAsia"/>
                <w:kern w:val="0"/>
                <w:sz w:val="19"/>
                <w:szCs w:val="19"/>
                <w:lang w:bidi="ar"/>
              </w:rPr>
              <w:t>对贵重仪器设备定期检测、维修维护</w:t>
            </w:r>
          </w:p>
        </w:tc>
        <w:tc>
          <w:tcPr>
            <w:tcW w:w="407" w:type="dxa"/>
            <w:vAlign w:val="center"/>
          </w:tcPr>
          <w:p w:rsidR="00530978" w:rsidRPr="00530978" w:rsidRDefault="00530978" w:rsidP="00530978">
            <w:pPr>
              <w:widowControl/>
              <w:spacing w:after="120" w:line="21" w:lineRule="atLeast"/>
              <w:jc w:val="center"/>
              <w:rPr>
                <w:rFonts w:ascii="Calibri" w:hAnsi="Calibri"/>
                <w:kern w:val="0"/>
                <w:sz w:val="16"/>
                <w:szCs w:val="16"/>
              </w:rPr>
            </w:pPr>
            <w:r w:rsidRPr="00530978">
              <w:rPr>
                <w:rFonts w:ascii="仿宋" w:eastAsia="仿宋" w:hAnsi="仿宋" w:cs="仿宋" w:hint="eastAsia"/>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Calibri" w:hAnsi="Calibri"/>
                <w:kern w:val="0"/>
                <w:sz w:val="16"/>
                <w:szCs w:val="16"/>
              </w:rPr>
            </w:pPr>
            <w:r w:rsidRPr="00530978">
              <w:rPr>
                <w:rFonts w:ascii="仿宋" w:eastAsia="仿宋" w:hAnsi="仿宋" w:cs="仿宋" w:hint="eastAsia"/>
                <w:kern w:val="0"/>
                <w:sz w:val="19"/>
                <w:szCs w:val="19"/>
                <w:lang w:bidi="ar"/>
              </w:rPr>
              <w:t>有检测、校验、维修报告或记录。</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rPr>
          <w:trHeight w:val="927"/>
        </w:trPr>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对积压</w:t>
            </w:r>
            <w:r w:rsidRPr="00530978">
              <w:rPr>
                <w:rFonts w:ascii="仿宋" w:eastAsia="仿宋" w:hAnsi="仿宋" w:cs="仿宋" w:hint="eastAsia"/>
                <w:color w:val="333399"/>
                <w:kern w:val="0"/>
                <w:sz w:val="19"/>
                <w:szCs w:val="19"/>
                <w:lang w:bidi="ar"/>
              </w:rPr>
              <w:t>、</w:t>
            </w:r>
            <w:r w:rsidRPr="00530978">
              <w:rPr>
                <w:rFonts w:ascii="仿宋" w:eastAsia="仿宋" w:hAnsi="仿宋" w:cs="仿宋" w:hint="eastAsia"/>
                <w:color w:val="333333"/>
                <w:kern w:val="0"/>
                <w:sz w:val="19"/>
                <w:szCs w:val="19"/>
                <w:lang w:bidi="ar"/>
              </w:rPr>
              <w:t>闲置或利用率不高的资产及时进行调剂、调配</w:t>
            </w:r>
          </w:p>
        </w:tc>
        <w:tc>
          <w:tcPr>
            <w:tcW w:w="407"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proofErr w:type="gramStart"/>
            <w:r w:rsidRPr="00530978">
              <w:rPr>
                <w:rFonts w:ascii="仿宋" w:eastAsia="仿宋" w:hAnsi="仿宋" w:cs="仿宋" w:hint="eastAsia"/>
                <w:color w:val="333333"/>
                <w:kern w:val="0"/>
                <w:sz w:val="19"/>
                <w:szCs w:val="19"/>
                <w:lang w:bidi="ar"/>
              </w:rPr>
              <w:t>配合国</w:t>
            </w:r>
            <w:proofErr w:type="gramEnd"/>
            <w:r w:rsidRPr="00530978">
              <w:rPr>
                <w:rFonts w:ascii="仿宋" w:eastAsia="仿宋" w:hAnsi="仿宋" w:cs="仿宋" w:hint="eastAsia"/>
                <w:color w:val="333333"/>
                <w:kern w:val="0"/>
                <w:sz w:val="19"/>
                <w:szCs w:val="19"/>
                <w:lang w:bidi="ar"/>
              </w:rPr>
              <w:t>资处对积压、闲置或利用率不高的资产及时进行调剂、调配，无闲置资产。</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3528BD"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对购置资产及时进行内部验收</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4</w:t>
            </w:r>
          </w:p>
        </w:tc>
        <w:tc>
          <w:tcPr>
            <w:tcW w:w="3818" w:type="dxa"/>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按照规定进行内部验收，程序规范、资料齐全。</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每年至少组织一次资产清查</w:t>
            </w:r>
          </w:p>
        </w:tc>
        <w:tc>
          <w:tcPr>
            <w:tcW w:w="407"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3</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按要求组织并提交本单位资产清查报告。</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D37C6A"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并按规定对清查盘点结果进行处理</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清查结果及时按规定办理相关手续。</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8E461D"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资产处置6分</w:t>
            </w:r>
          </w:p>
        </w:tc>
        <w:tc>
          <w:tcPr>
            <w:tcW w:w="2125" w:type="dxa"/>
            <w:vMerge w:val="restart"/>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资产</w:t>
            </w:r>
            <w:proofErr w:type="gramStart"/>
            <w:r w:rsidRPr="00530978">
              <w:rPr>
                <w:rFonts w:ascii="仿宋" w:eastAsia="仿宋" w:hAnsi="仿宋" w:cs="仿宋" w:hint="eastAsia"/>
                <w:color w:val="333333"/>
                <w:kern w:val="0"/>
                <w:sz w:val="19"/>
                <w:szCs w:val="19"/>
                <w:lang w:bidi="ar"/>
              </w:rPr>
              <w:t>处置按</w:t>
            </w:r>
            <w:proofErr w:type="gramEnd"/>
            <w:r w:rsidRPr="00530978">
              <w:rPr>
                <w:rFonts w:ascii="仿宋" w:eastAsia="仿宋" w:hAnsi="仿宋" w:cs="仿宋" w:hint="eastAsia"/>
                <w:color w:val="333333"/>
                <w:kern w:val="0"/>
                <w:sz w:val="19"/>
                <w:szCs w:val="19"/>
                <w:lang w:bidi="ar"/>
              </w:rPr>
              <w:t>程序及时进行申报</w:t>
            </w:r>
          </w:p>
        </w:tc>
        <w:tc>
          <w:tcPr>
            <w:tcW w:w="407"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资产处置及时提交拟处置资产申报表、资产处置单及其他申报材料。</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025E6C"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rPr>
          <w:trHeight w:val="540"/>
        </w:trPr>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Merge/>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p>
        </w:tc>
        <w:tc>
          <w:tcPr>
            <w:tcW w:w="407"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拟处置资产自行运送至指定地点。</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8E461D"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公用房屋管理</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8分</w:t>
            </w:r>
          </w:p>
          <w:p w:rsidR="00530978" w:rsidRPr="00530978" w:rsidRDefault="00530978" w:rsidP="00530978">
            <w:pPr>
              <w:widowControl/>
              <w:spacing w:after="120" w:line="21" w:lineRule="atLeast"/>
              <w:jc w:val="center"/>
              <w:rPr>
                <w:rFonts w:ascii="Calibri" w:hAnsi="Calibri"/>
                <w:color w:val="333333"/>
                <w:kern w:val="0"/>
                <w:sz w:val="16"/>
                <w:szCs w:val="16"/>
              </w:rPr>
            </w:pPr>
          </w:p>
        </w:tc>
        <w:tc>
          <w:tcPr>
            <w:tcW w:w="2125"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遵守学校公用房屋管理规定，房屋使用无违规问题</w:t>
            </w:r>
          </w:p>
        </w:tc>
        <w:tc>
          <w:tcPr>
            <w:tcW w:w="407"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严格遵守学校公用房屋管理规定，</w:t>
            </w:r>
            <w:proofErr w:type="gramStart"/>
            <w:r w:rsidRPr="00530978">
              <w:rPr>
                <w:rFonts w:ascii="仿宋" w:eastAsia="仿宋" w:hAnsi="仿宋" w:cs="仿宋" w:hint="eastAsia"/>
                <w:color w:val="333333"/>
                <w:kern w:val="0"/>
                <w:sz w:val="19"/>
                <w:szCs w:val="19"/>
                <w:lang w:bidi="ar"/>
              </w:rPr>
              <w:t>不</w:t>
            </w:r>
            <w:proofErr w:type="gramEnd"/>
            <w:r w:rsidRPr="00530978">
              <w:rPr>
                <w:rFonts w:ascii="仿宋" w:eastAsia="仿宋" w:hAnsi="仿宋" w:cs="仿宋" w:hint="eastAsia"/>
                <w:color w:val="333333"/>
                <w:kern w:val="0"/>
                <w:sz w:val="19"/>
                <w:szCs w:val="19"/>
                <w:lang w:bidi="ar"/>
              </w:rPr>
              <w:t>违规使用房屋，无擅自改变房屋结构情况。</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6337C7"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公用房服从学校调配</w:t>
            </w:r>
          </w:p>
        </w:tc>
        <w:tc>
          <w:tcPr>
            <w:tcW w:w="407"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proofErr w:type="gramStart"/>
            <w:r w:rsidRPr="00530978">
              <w:rPr>
                <w:rFonts w:ascii="仿宋" w:eastAsia="仿宋" w:hAnsi="仿宋" w:cs="仿宋" w:hint="eastAsia"/>
                <w:color w:val="333333"/>
                <w:kern w:val="0"/>
                <w:sz w:val="19"/>
                <w:szCs w:val="19"/>
                <w:lang w:bidi="ar"/>
              </w:rPr>
              <w:t>配合国</w:t>
            </w:r>
            <w:proofErr w:type="gramEnd"/>
            <w:r w:rsidRPr="00530978">
              <w:rPr>
                <w:rFonts w:ascii="仿宋" w:eastAsia="仿宋" w:hAnsi="仿宋" w:cs="仿宋" w:hint="eastAsia"/>
                <w:color w:val="333333"/>
                <w:kern w:val="0"/>
                <w:sz w:val="19"/>
                <w:szCs w:val="19"/>
                <w:lang w:bidi="ar"/>
              </w:rPr>
              <w:t>资处做好公用房屋调配。</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6337C7"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公用房的使用信息及时更新</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根据人员及房屋用途变动等情况，及时更新系统数据。</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6337C7"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出租出借</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5分</w:t>
            </w:r>
          </w:p>
        </w:tc>
        <w:tc>
          <w:tcPr>
            <w:tcW w:w="2125"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出租出借程序规范，建立台账</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3</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按规定进行可行性论证、合法性审核，报学校审批备案，公开招租，建立出租</w:t>
            </w:r>
            <w:proofErr w:type="gramStart"/>
            <w:r w:rsidRPr="00530978">
              <w:rPr>
                <w:rFonts w:ascii="仿宋" w:eastAsia="仿宋" w:hAnsi="仿宋" w:cs="仿宋" w:hint="eastAsia"/>
                <w:color w:val="333333"/>
                <w:kern w:val="0"/>
                <w:sz w:val="19"/>
                <w:szCs w:val="19"/>
                <w:lang w:bidi="ar"/>
              </w:rPr>
              <w:t>出借台</w:t>
            </w:r>
            <w:proofErr w:type="gramEnd"/>
            <w:r w:rsidRPr="00530978">
              <w:rPr>
                <w:rFonts w:ascii="仿宋" w:eastAsia="仿宋" w:hAnsi="仿宋" w:cs="仿宋" w:hint="eastAsia"/>
                <w:color w:val="333333"/>
                <w:kern w:val="0"/>
                <w:sz w:val="19"/>
                <w:szCs w:val="19"/>
                <w:lang w:bidi="ar"/>
              </w:rPr>
              <w:t>账</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加强合同管理</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收益足额上缴财务</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CE66E5"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458"/>
        </w:trPr>
        <w:tc>
          <w:tcPr>
            <w:tcW w:w="687" w:type="dxa"/>
            <w:vMerge w:val="restart"/>
            <w:vAlign w:val="center"/>
          </w:tcPr>
          <w:p w:rsidR="00530978" w:rsidRPr="00530978" w:rsidRDefault="00530978" w:rsidP="00530978">
            <w:pPr>
              <w:jc w:val="center"/>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管理绩效</w:t>
            </w:r>
          </w:p>
          <w:p w:rsidR="00530978" w:rsidRPr="00530978" w:rsidRDefault="00530978" w:rsidP="00530978">
            <w:pPr>
              <w:jc w:val="center"/>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20分</w:t>
            </w: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运行效率</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12分</w:t>
            </w:r>
          </w:p>
        </w:tc>
        <w:tc>
          <w:tcPr>
            <w:tcW w:w="2125"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采购预算执行率</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达到100%得2分</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0F0DFC"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458"/>
        </w:trPr>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超年限资产正常使用率</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达到30%的得2分</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0F0DFC"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495"/>
        </w:trPr>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资产盘活情况</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有盘活资产情况得2分</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0F0DFC"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486"/>
        </w:trPr>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调剂资产使用情况</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有调剂资产情况得2分</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0F0DFC"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486"/>
        </w:trPr>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大型仪器设备利用率</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达到30%的得2分</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0F0DFC"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440"/>
        </w:trPr>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大型仪器设备共享率</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1</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达到30%以上的得1分</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0F0DFC"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531"/>
        </w:trPr>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在用特种设备年检率</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1</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达到100%得1分</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监督评价</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8分</w:t>
            </w:r>
          </w:p>
        </w:tc>
        <w:tc>
          <w:tcPr>
            <w:tcW w:w="2125"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学校组织检查自行采购情况</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根据检查情况进行评定</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903A24"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125"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学校组织检查各项资产管理情况</w:t>
            </w:r>
          </w:p>
        </w:tc>
        <w:tc>
          <w:tcPr>
            <w:tcW w:w="407"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根据检查情况进行评定</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903A24"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8105" w:type="dxa"/>
            <w:gridSpan w:val="5"/>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评价得分合计</w:t>
            </w:r>
          </w:p>
        </w:tc>
        <w:tc>
          <w:tcPr>
            <w:tcW w:w="709"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2" w:type="dxa"/>
          </w:tcPr>
          <w:p w:rsidR="00530978" w:rsidRPr="00530978" w:rsidRDefault="00530978" w:rsidP="00530978">
            <w:pPr>
              <w:jc w:val="left"/>
              <w:rPr>
                <w:rFonts w:ascii="仿宋" w:eastAsia="仿宋" w:hAnsi="仿宋" w:cs="仿宋"/>
                <w:b/>
                <w:bCs/>
                <w:color w:val="000000"/>
                <w:kern w:val="0"/>
                <w:sz w:val="18"/>
                <w:szCs w:val="18"/>
                <w:lang w:bidi="ar"/>
              </w:rPr>
            </w:pPr>
          </w:p>
        </w:tc>
      </w:tr>
    </w:tbl>
    <w:p w:rsidR="00530978" w:rsidRPr="00530978" w:rsidRDefault="00530978" w:rsidP="00586CCA">
      <w:pPr>
        <w:jc w:val="center"/>
        <w:rPr>
          <w:rFonts w:ascii="宋体" w:eastAsia="宋体" w:hAnsi="宋体" w:cs="宋体"/>
          <w:b/>
          <w:bCs/>
          <w:color w:val="000000"/>
          <w:kern w:val="0"/>
          <w:sz w:val="28"/>
          <w:szCs w:val="28"/>
          <w:lang w:bidi="ar"/>
        </w:rPr>
      </w:pPr>
      <w:r w:rsidRPr="00530978">
        <w:rPr>
          <w:rFonts w:ascii="黑体" w:eastAsia="黑体" w:hAnsi="黑体" w:cs="黑体" w:hint="eastAsia"/>
          <w:b/>
          <w:bCs/>
          <w:color w:val="000000"/>
          <w:kern w:val="0"/>
          <w:sz w:val="28"/>
          <w:szCs w:val="28"/>
          <w:lang w:bidi="ar"/>
        </w:rPr>
        <w:lastRenderedPageBreak/>
        <w:t>国有资产管理绩效评价表2</w:t>
      </w:r>
    </w:p>
    <w:tbl>
      <w:tblPr>
        <w:tblStyle w:val="1"/>
        <w:tblW w:w="9806" w:type="dxa"/>
        <w:tblInd w:w="-342" w:type="dxa"/>
        <w:tblLayout w:type="fixed"/>
        <w:tblLook w:val="04A0" w:firstRow="1" w:lastRow="0" w:firstColumn="1" w:lastColumn="0" w:noHBand="0" w:noVBand="1"/>
      </w:tblPr>
      <w:tblGrid>
        <w:gridCol w:w="687"/>
        <w:gridCol w:w="1068"/>
        <w:gridCol w:w="2070"/>
        <w:gridCol w:w="462"/>
        <w:gridCol w:w="3818"/>
        <w:gridCol w:w="707"/>
        <w:gridCol w:w="994"/>
      </w:tblGrid>
      <w:tr w:rsidR="00530978" w:rsidRPr="00530978" w:rsidTr="00586CCA">
        <w:tc>
          <w:tcPr>
            <w:tcW w:w="687"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一级指标</w:t>
            </w:r>
          </w:p>
        </w:tc>
        <w:tc>
          <w:tcPr>
            <w:tcW w:w="1068"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二级</w:t>
            </w:r>
          </w:p>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指标</w:t>
            </w:r>
          </w:p>
        </w:tc>
        <w:tc>
          <w:tcPr>
            <w:tcW w:w="2070"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评价内容</w:t>
            </w:r>
          </w:p>
        </w:tc>
        <w:tc>
          <w:tcPr>
            <w:tcW w:w="462"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分值</w:t>
            </w:r>
          </w:p>
        </w:tc>
        <w:tc>
          <w:tcPr>
            <w:tcW w:w="3818"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评分标准</w:t>
            </w:r>
          </w:p>
        </w:tc>
        <w:tc>
          <w:tcPr>
            <w:tcW w:w="707" w:type="dxa"/>
            <w:vAlign w:val="center"/>
          </w:tcPr>
          <w:p w:rsidR="00530978" w:rsidRPr="00530978" w:rsidRDefault="00530978" w:rsidP="00530978">
            <w:pPr>
              <w:jc w:val="center"/>
              <w:rPr>
                <w:rFonts w:ascii="黑体" w:eastAsia="黑体" w:hAnsi="黑体" w:cs="黑体"/>
                <w:b/>
                <w:bCs/>
                <w:color w:val="000000"/>
                <w:kern w:val="0"/>
                <w:sz w:val="18"/>
                <w:szCs w:val="18"/>
                <w:lang w:bidi="ar"/>
              </w:rPr>
            </w:pPr>
            <w:r w:rsidRPr="00530978">
              <w:rPr>
                <w:rFonts w:ascii="黑体" w:eastAsia="黑体" w:hAnsi="黑体" w:cs="黑体" w:hint="eastAsia"/>
                <w:b/>
                <w:bCs/>
                <w:color w:val="000000"/>
                <w:kern w:val="0"/>
                <w:sz w:val="18"/>
                <w:szCs w:val="18"/>
                <w:lang w:bidi="ar"/>
              </w:rPr>
              <w:t>自评得分</w:t>
            </w:r>
          </w:p>
        </w:tc>
        <w:tc>
          <w:tcPr>
            <w:tcW w:w="994" w:type="dxa"/>
            <w:vAlign w:val="center"/>
          </w:tcPr>
          <w:p w:rsidR="00216534" w:rsidRPr="00216534" w:rsidRDefault="00216534" w:rsidP="00216534">
            <w:pPr>
              <w:jc w:val="center"/>
              <w:rPr>
                <w:rFonts w:ascii="黑体" w:eastAsia="黑体" w:hAnsi="黑体" w:cs="黑体"/>
                <w:b/>
                <w:bCs/>
                <w:color w:val="000000"/>
                <w:kern w:val="0"/>
                <w:sz w:val="18"/>
                <w:szCs w:val="18"/>
                <w:lang w:bidi="ar"/>
              </w:rPr>
            </w:pPr>
            <w:r w:rsidRPr="00216534">
              <w:rPr>
                <w:rFonts w:ascii="黑体" w:eastAsia="黑体" w:hAnsi="黑体" w:cs="黑体"/>
                <w:b/>
                <w:bCs/>
                <w:color w:val="000000"/>
                <w:kern w:val="0"/>
                <w:sz w:val="18"/>
                <w:szCs w:val="18"/>
                <w:lang w:bidi="ar"/>
              </w:rPr>
              <w:t>资料</w:t>
            </w:r>
          </w:p>
          <w:p w:rsidR="00530978" w:rsidRPr="00530978" w:rsidRDefault="00216534" w:rsidP="00216534">
            <w:pPr>
              <w:jc w:val="center"/>
              <w:rPr>
                <w:rFonts w:ascii="黑体" w:eastAsia="黑体" w:hAnsi="黑体" w:cs="黑体"/>
                <w:b/>
                <w:bCs/>
                <w:color w:val="000000"/>
                <w:kern w:val="0"/>
                <w:sz w:val="18"/>
                <w:szCs w:val="18"/>
                <w:lang w:bidi="ar"/>
              </w:rPr>
            </w:pPr>
            <w:r w:rsidRPr="00216534">
              <w:rPr>
                <w:rFonts w:ascii="黑体" w:eastAsia="黑体" w:hAnsi="黑体" w:cs="黑体"/>
                <w:b/>
                <w:bCs/>
                <w:color w:val="000000"/>
                <w:kern w:val="0"/>
                <w:sz w:val="18"/>
                <w:szCs w:val="18"/>
                <w:lang w:bidi="ar"/>
              </w:rPr>
              <w:t>提供</w:t>
            </w:r>
          </w:p>
        </w:tc>
      </w:tr>
      <w:tr w:rsidR="00530978" w:rsidRPr="00530978" w:rsidTr="00586CCA">
        <w:trPr>
          <w:trHeight w:val="615"/>
        </w:trPr>
        <w:tc>
          <w:tcPr>
            <w:tcW w:w="687" w:type="dxa"/>
            <w:vMerge w:val="restart"/>
            <w:vAlign w:val="center"/>
          </w:tcPr>
          <w:p w:rsidR="00530978" w:rsidRPr="00530978" w:rsidRDefault="00530978" w:rsidP="00530978">
            <w:pPr>
              <w:jc w:val="center"/>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基础管理</w:t>
            </w:r>
          </w:p>
          <w:p w:rsidR="00530978" w:rsidRPr="00530978" w:rsidRDefault="00530978" w:rsidP="00530978">
            <w:pPr>
              <w:jc w:val="center"/>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24分</w:t>
            </w:r>
          </w:p>
        </w:tc>
        <w:tc>
          <w:tcPr>
            <w:tcW w:w="1068" w:type="dxa"/>
            <w:vMerge w:val="restart"/>
            <w:vAlign w:val="center"/>
          </w:tcPr>
          <w:p w:rsidR="00530978" w:rsidRPr="00530978" w:rsidRDefault="00530978" w:rsidP="00530978">
            <w:pPr>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管理体制</w:t>
            </w:r>
          </w:p>
          <w:p w:rsidR="00530978" w:rsidRPr="00530978" w:rsidRDefault="00530978" w:rsidP="00530978">
            <w:pPr>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6分</w:t>
            </w:r>
          </w:p>
        </w:tc>
        <w:tc>
          <w:tcPr>
            <w:tcW w:w="2070" w:type="dxa"/>
            <w:vAlign w:val="center"/>
          </w:tcPr>
          <w:p w:rsidR="00530978" w:rsidRPr="00530978" w:rsidRDefault="00530978" w:rsidP="00530978">
            <w:pPr>
              <w:widowControl/>
              <w:spacing w:after="120" w:line="21" w:lineRule="atLeast"/>
              <w:rPr>
                <w:rFonts w:ascii="Calibri" w:hAnsi="Calibri"/>
                <w:kern w:val="0"/>
                <w:sz w:val="16"/>
                <w:szCs w:val="16"/>
              </w:rPr>
            </w:pPr>
            <w:r w:rsidRPr="00530978">
              <w:rPr>
                <w:rFonts w:ascii="仿宋" w:eastAsia="仿宋" w:hAnsi="仿宋" w:cs="仿宋" w:hint="eastAsia"/>
                <w:kern w:val="0"/>
                <w:sz w:val="19"/>
                <w:szCs w:val="19"/>
                <w:lang w:bidi="ar"/>
              </w:rPr>
              <w:t>部门成立国有资产管理工作领导小组</w:t>
            </w:r>
          </w:p>
        </w:tc>
        <w:tc>
          <w:tcPr>
            <w:tcW w:w="462" w:type="dxa"/>
            <w:vAlign w:val="center"/>
          </w:tcPr>
          <w:p w:rsidR="00530978" w:rsidRPr="00530978" w:rsidRDefault="00530978" w:rsidP="00530978">
            <w:pPr>
              <w:widowControl/>
              <w:spacing w:after="120" w:line="21" w:lineRule="atLeast"/>
              <w:jc w:val="center"/>
              <w:rPr>
                <w:rFonts w:ascii="Calibri" w:hAnsi="Calibri"/>
                <w:kern w:val="0"/>
                <w:sz w:val="16"/>
                <w:szCs w:val="16"/>
              </w:rPr>
            </w:pPr>
            <w:r w:rsidRPr="00530978">
              <w:rPr>
                <w:rFonts w:ascii="仿宋" w:eastAsia="仿宋" w:hAnsi="仿宋" w:cs="仿宋" w:hint="eastAsia"/>
                <w:kern w:val="0"/>
                <w:sz w:val="19"/>
                <w:szCs w:val="19"/>
                <w:lang w:bidi="ar"/>
              </w:rPr>
              <w:t>2</w:t>
            </w:r>
          </w:p>
        </w:tc>
        <w:tc>
          <w:tcPr>
            <w:tcW w:w="3818" w:type="dxa"/>
            <w:vAlign w:val="center"/>
          </w:tcPr>
          <w:p w:rsidR="00530978" w:rsidRPr="00530978" w:rsidRDefault="00530978" w:rsidP="00530978">
            <w:pPr>
              <w:widowControl/>
              <w:spacing w:after="120" w:line="21" w:lineRule="atLeast"/>
              <w:rPr>
                <w:rFonts w:ascii="Calibri" w:hAnsi="Calibri"/>
                <w:color w:val="FF0000"/>
                <w:kern w:val="0"/>
                <w:sz w:val="16"/>
                <w:szCs w:val="16"/>
              </w:rPr>
            </w:pPr>
            <w:r w:rsidRPr="00530978">
              <w:rPr>
                <w:rFonts w:ascii="仿宋" w:eastAsia="仿宋" w:hAnsi="仿宋" w:cs="仿宋" w:hint="eastAsia"/>
                <w:kern w:val="0"/>
                <w:sz w:val="19"/>
                <w:szCs w:val="19"/>
                <w:lang w:bidi="ar"/>
              </w:rPr>
              <w:t>指定一名单位负责人分管国有资产管理工作。</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2070" w:type="dxa"/>
            <w:vAlign w:val="center"/>
          </w:tcPr>
          <w:p w:rsidR="00530978" w:rsidRPr="00530978" w:rsidRDefault="00530978" w:rsidP="00530978">
            <w:pPr>
              <w:widowControl/>
              <w:spacing w:after="120" w:line="21" w:lineRule="atLeast"/>
              <w:rPr>
                <w:rFonts w:ascii="Calibri" w:hAnsi="Calibri"/>
                <w:kern w:val="0"/>
                <w:sz w:val="16"/>
                <w:szCs w:val="16"/>
              </w:rPr>
            </w:pPr>
            <w:r w:rsidRPr="00530978">
              <w:rPr>
                <w:rFonts w:ascii="仿宋" w:eastAsia="仿宋" w:hAnsi="仿宋" w:cs="仿宋" w:hint="eastAsia"/>
                <w:kern w:val="0"/>
                <w:sz w:val="19"/>
                <w:szCs w:val="19"/>
                <w:lang w:bidi="ar"/>
              </w:rPr>
              <w:t>将国有资产管理事项纳入部门重点工作</w:t>
            </w:r>
          </w:p>
        </w:tc>
        <w:tc>
          <w:tcPr>
            <w:tcW w:w="462" w:type="dxa"/>
            <w:vAlign w:val="center"/>
          </w:tcPr>
          <w:p w:rsidR="00530978" w:rsidRPr="00530978" w:rsidRDefault="00530978" w:rsidP="00530978">
            <w:pPr>
              <w:widowControl/>
              <w:spacing w:after="120" w:line="21" w:lineRule="atLeast"/>
              <w:jc w:val="center"/>
              <w:rPr>
                <w:rFonts w:ascii="Calibri" w:hAnsi="Calibri"/>
                <w:kern w:val="0"/>
                <w:sz w:val="16"/>
                <w:szCs w:val="16"/>
              </w:rPr>
            </w:pPr>
            <w:r w:rsidRPr="00530978">
              <w:rPr>
                <w:rFonts w:ascii="仿宋" w:eastAsia="仿宋" w:hAnsi="仿宋" w:cs="仿宋" w:hint="eastAsia"/>
                <w:kern w:val="0"/>
                <w:sz w:val="19"/>
                <w:szCs w:val="19"/>
                <w:lang w:bidi="ar"/>
              </w:rPr>
              <w:t>4</w:t>
            </w:r>
          </w:p>
        </w:tc>
        <w:tc>
          <w:tcPr>
            <w:tcW w:w="3818" w:type="dxa"/>
            <w:vAlign w:val="center"/>
          </w:tcPr>
          <w:p w:rsidR="00530978" w:rsidRPr="00530978" w:rsidRDefault="00530978" w:rsidP="00530978">
            <w:pPr>
              <w:widowControl/>
              <w:spacing w:after="120" w:line="21" w:lineRule="atLeast"/>
              <w:rPr>
                <w:rFonts w:ascii="Calibri" w:hAnsi="Calibri"/>
                <w:kern w:val="0"/>
                <w:sz w:val="16"/>
                <w:szCs w:val="16"/>
              </w:rPr>
            </w:pPr>
            <w:r w:rsidRPr="00530978">
              <w:rPr>
                <w:rFonts w:ascii="仿宋" w:eastAsia="仿宋" w:hAnsi="仿宋" w:cs="仿宋" w:hint="eastAsia"/>
                <w:kern w:val="0"/>
                <w:sz w:val="19"/>
                <w:szCs w:val="19"/>
                <w:lang w:bidi="ar"/>
              </w:rPr>
              <w:t>将国有资产管理工作纳入本部门工作计划；每年部门例会中，关于资产管理工作会议不少于2次，有资产管理的会议记录。</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rPr>
          <w:trHeight w:val="863"/>
        </w:trPr>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管理队伍</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6分</w:t>
            </w:r>
          </w:p>
        </w:tc>
        <w:tc>
          <w:tcPr>
            <w:tcW w:w="2070"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配备兼职资产管理人员，岗位责任明确</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资产管理人员相对稳定，配备满足需要的兼职资产管理人员。资产管理员熟练掌握资产管理业务，管理责任心强。</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137E58"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936"/>
        </w:trPr>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参加学校及上级主管部门组织的资产管理业务培训</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分管资产负责人以及资产管理员能积极参加学校及上级主管部门组织的资产管理业务培训、会议等。</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137E58"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348"/>
        </w:trPr>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管理制度</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12分</w:t>
            </w:r>
          </w:p>
        </w:tc>
        <w:tc>
          <w:tcPr>
            <w:tcW w:w="2070" w:type="dxa"/>
            <w:vMerge w:val="restart"/>
            <w:vAlign w:val="center"/>
          </w:tcPr>
          <w:p w:rsidR="00530978" w:rsidRPr="00530978" w:rsidRDefault="00530978" w:rsidP="00530978">
            <w:pPr>
              <w:widowControl/>
              <w:spacing w:after="120" w:line="21" w:lineRule="atLeas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严格执行学校资产管理制度</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FF0000"/>
                <w:kern w:val="0"/>
                <w:sz w:val="19"/>
                <w:szCs w:val="19"/>
                <w:lang w:bidi="ar"/>
              </w:rPr>
            </w:pPr>
            <w:r w:rsidRPr="00530978">
              <w:rPr>
                <w:rFonts w:ascii="仿宋" w:eastAsia="仿宋" w:hAnsi="仿宋" w:cs="仿宋" w:hint="eastAsia"/>
                <w:kern w:val="0"/>
                <w:sz w:val="19"/>
                <w:szCs w:val="19"/>
                <w:lang w:bidi="ar"/>
              </w:rPr>
              <w:t>3</w:t>
            </w:r>
          </w:p>
        </w:tc>
        <w:tc>
          <w:tcPr>
            <w:tcW w:w="3818" w:type="dxa"/>
            <w:vAlign w:val="center"/>
          </w:tcPr>
          <w:p w:rsidR="00530978" w:rsidRPr="00530978" w:rsidRDefault="00530978" w:rsidP="00530978">
            <w:pPr>
              <w:widowControl/>
              <w:spacing w:after="120" w:line="21" w:lineRule="atLeast"/>
              <w:rPr>
                <w:rFonts w:ascii="仿宋" w:eastAsia="仿宋" w:hAnsi="仿宋" w:cs="仿宋"/>
                <w:color w:val="FF0000"/>
                <w:kern w:val="0"/>
                <w:sz w:val="19"/>
                <w:szCs w:val="19"/>
                <w:lang w:bidi="ar"/>
              </w:rPr>
            </w:pPr>
            <w:r w:rsidRPr="00530978">
              <w:rPr>
                <w:rFonts w:ascii="仿宋" w:eastAsia="仿宋" w:hAnsi="仿宋" w:cs="仿宋" w:hint="eastAsia"/>
                <w:kern w:val="0"/>
                <w:sz w:val="19"/>
                <w:szCs w:val="19"/>
                <w:lang w:bidi="ar"/>
              </w:rPr>
              <w:t>按时规范上报各项报告、资料等。</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137E58"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Merge/>
            <w:vAlign w:val="center"/>
          </w:tcPr>
          <w:p w:rsidR="00530978" w:rsidRPr="00530978" w:rsidRDefault="00530978" w:rsidP="00530978">
            <w:pPr>
              <w:widowControl/>
              <w:spacing w:after="120" w:line="21" w:lineRule="atLeast"/>
              <w:rPr>
                <w:rFonts w:ascii="仿宋" w:eastAsia="仿宋" w:hAnsi="仿宋" w:cs="仿宋"/>
                <w:kern w:val="0"/>
                <w:sz w:val="19"/>
                <w:szCs w:val="19"/>
                <w:lang w:bidi="ar"/>
              </w:rPr>
            </w:pP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4</w:t>
            </w:r>
          </w:p>
        </w:tc>
        <w:tc>
          <w:tcPr>
            <w:tcW w:w="3818" w:type="dxa"/>
            <w:vAlign w:val="center"/>
          </w:tcPr>
          <w:p w:rsidR="00530978" w:rsidRPr="00530978" w:rsidRDefault="00530978" w:rsidP="00530978">
            <w:pPr>
              <w:widowControl/>
              <w:spacing w:after="120" w:line="21" w:lineRule="atLeas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各类资产资料齐全，档案管理规范。</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137E58"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vAlign w:val="center"/>
          </w:tcPr>
          <w:p w:rsidR="00530978" w:rsidRPr="00530978" w:rsidRDefault="00530978" w:rsidP="00530978">
            <w:pP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Merge/>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5</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自行采购、内部验收资料及时</w:t>
            </w:r>
            <w:proofErr w:type="gramStart"/>
            <w:r w:rsidRPr="00530978">
              <w:rPr>
                <w:rFonts w:ascii="仿宋" w:eastAsia="仿宋" w:hAnsi="仿宋" w:cs="仿宋" w:hint="eastAsia"/>
                <w:color w:val="333333"/>
                <w:kern w:val="0"/>
                <w:sz w:val="19"/>
                <w:szCs w:val="19"/>
                <w:lang w:bidi="ar"/>
              </w:rPr>
              <w:t>完整上传项目</w:t>
            </w:r>
            <w:proofErr w:type="gramEnd"/>
            <w:r w:rsidRPr="00530978">
              <w:rPr>
                <w:rFonts w:ascii="仿宋" w:eastAsia="仿宋" w:hAnsi="仿宋" w:cs="仿宋" w:hint="eastAsia"/>
                <w:color w:val="333333"/>
                <w:kern w:val="0"/>
                <w:sz w:val="19"/>
                <w:szCs w:val="19"/>
                <w:lang w:bidi="ar"/>
              </w:rPr>
              <w:t>资料管理系统。</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rPr>
          <w:trHeight w:val="670"/>
        </w:trPr>
        <w:tc>
          <w:tcPr>
            <w:tcW w:w="687" w:type="dxa"/>
            <w:vMerge w:val="restart"/>
            <w:vAlign w:val="center"/>
          </w:tcPr>
          <w:p w:rsidR="00530978" w:rsidRPr="00530978" w:rsidRDefault="00530978" w:rsidP="00530978">
            <w:pPr>
              <w:jc w:val="left"/>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过程管理</w:t>
            </w:r>
          </w:p>
          <w:p w:rsidR="00530978" w:rsidRPr="00530978" w:rsidRDefault="00530978" w:rsidP="00530978">
            <w:pPr>
              <w:jc w:val="left"/>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56分</w:t>
            </w: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资产配置</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10分</w:t>
            </w:r>
          </w:p>
        </w:tc>
        <w:tc>
          <w:tcPr>
            <w:tcW w:w="2070"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一般设备配置计划编制及时规范</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年度资产配置计划编制规范，申报及时，严格执行。</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137E58"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p>
        </w:tc>
        <w:tc>
          <w:tcPr>
            <w:tcW w:w="2070"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自行采购程序规范</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自行采购的程序规范，资料齐全，签订合同并严格履行。</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8C3338"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Merge w:val="restart"/>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购置大宗的一般设备、仪器等，以及进行基本建设和大型修缮，应当组织考察论证</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一次性购置十万元以上大宗的一般设备、仪器等要有可行性论证报告。</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Merge/>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进行基本建设和大型修缮的，应当组织考察论证并提供报告。</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资产使用27分</w:t>
            </w:r>
          </w:p>
        </w:tc>
        <w:tc>
          <w:tcPr>
            <w:tcW w:w="2070"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资产使用部门和使用人要确保资产的安全完整</w:t>
            </w:r>
          </w:p>
        </w:tc>
        <w:tc>
          <w:tcPr>
            <w:tcW w:w="462"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每件资产责任到人，没有出现账实不符、权责不清等情况，标签粘贴规范。</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2108BE"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各项资产信息录入及时、准确、完整</w:t>
            </w:r>
          </w:p>
        </w:tc>
        <w:tc>
          <w:tcPr>
            <w:tcW w:w="462"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5</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各项固定资产、无形资产、低值耐用品等资产信息在系统中录入准确、完整、及时，附件上传完整。</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36297A"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实施动态管理，及时更新数据</w:t>
            </w:r>
          </w:p>
        </w:tc>
        <w:tc>
          <w:tcPr>
            <w:tcW w:w="462"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5</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人员调动、调离、退休后，资产存放地点等变动，及时更新数据。</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75736E"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对积压</w:t>
            </w:r>
            <w:r w:rsidRPr="00530978">
              <w:rPr>
                <w:rFonts w:ascii="仿宋" w:eastAsia="仿宋" w:hAnsi="仿宋" w:cs="仿宋" w:hint="eastAsia"/>
                <w:color w:val="333399"/>
                <w:kern w:val="0"/>
                <w:sz w:val="19"/>
                <w:szCs w:val="19"/>
                <w:lang w:bidi="ar"/>
              </w:rPr>
              <w:t>、</w:t>
            </w:r>
            <w:r w:rsidRPr="00530978">
              <w:rPr>
                <w:rFonts w:ascii="仿宋" w:eastAsia="仿宋" w:hAnsi="仿宋" w:cs="仿宋" w:hint="eastAsia"/>
                <w:color w:val="333333"/>
                <w:kern w:val="0"/>
                <w:sz w:val="19"/>
                <w:szCs w:val="19"/>
                <w:lang w:bidi="ar"/>
              </w:rPr>
              <w:t>闲置或利用率不高的资产及时进行调剂、调配</w:t>
            </w:r>
          </w:p>
        </w:tc>
        <w:tc>
          <w:tcPr>
            <w:tcW w:w="462"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proofErr w:type="gramStart"/>
            <w:r w:rsidRPr="00530978">
              <w:rPr>
                <w:rFonts w:ascii="仿宋" w:eastAsia="仿宋" w:hAnsi="仿宋" w:cs="仿宋" w:hint="eastAsia"/>
                <w:color w:val="333333"/>
                <w:kern w:val="0"/>
                <w:sz w:val="19"/>
                <w:szCs w:val="19"/>
                <w:lang w:bidi="ar"/>
              </w:rPr>
              <w:t>配合国</w:t>
            </w:r>
            <w:proofErr w:type="gramEnd"/>
            <w:r w:rsidRPr="00530978">
              <w:rPr>
                <w:rFonts w:ascii="仿宋" w:eastAsia="仿宋" w:hAnsi="仿宋" w:cs="仿宋" w:hint="eastAsia"/>
                <w:color w:val="333333"/>
                <w:kern w:val="0"/>
                <w:sz w:val="19"/>
                <w:szCs w:val="19"/>
                <w:lang w:bidi="ar"/>
              </w:rPr>
              <w:t>资处对积压、闲置或利用率不高的资产及时进行调剂、调配，无闲置资产。</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对购置资产及时进行内部验收</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4</w:t>
            </w:r>
          </w:p>
        </w:tc>
        <w:tc>
          <w:tcPr>
            <w:tcW w:w="3818" w:type="dxa"/>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按照规定进行内部验收，程序规范、资料齐全。</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每年至少组织一次资产清查</w:t>
            </w:r>
          </w:p>
        </w:tc>
        <w:tc>
          <w:tcPr>
            <w:tcW w:w="462"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3</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按要求组织并提交本单位资产清查报告。</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175D30"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并按规定对清查盘点结果进行处理</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清查结果及时按规定办理相关手续。</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资产处置6分</w:t>
            </w:r>
          </w:p>
        </w:tc>
        <w:tc>
          <w:tcPr>
            <w:tcW w:w="2070" w:type="dxa"/>
            <w:vMerge w:val="restart"/>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资产</w:t>
            </w:r>
            <w:proofErr w:type="gramStart"/>
            <w:r w:rsidRPr="00530978">
              <w:rPr>
                <w:rFonts w:ascii="仿宋" w:eastAsia="仿宋" w:hAnsi="仿宋" w:cs="仿宋" w:hint="eastAsia"/>
                <w:color w:val="333333"/>
                <w:kern w:val="0"/>
                <w:sz w:val="19"/>
                <w:szCs w:val="19"/>
                <w:lang w:bidi="ar"/>
              </w:rPr>
              <w:t>处置按</w:t>
            </w:r>
            <w:proofErr w:type="gramEnd"/>
            <w:r w:rsidRPr="00530978">
              <w:rPr>
                <w:rFonts w:ascii="仿宋" w:eastAsia="仿宋" w:hAnsi="仿宋" w:cs="仿宋" w:hint="eastAsia"/>
                <w:color w:val="333333"/>
                <w:kern w:val="0"/>
                <w:sz w:val="19"/>
                <w:szCs w:val="19"/>
                <w:lang w:bidi="ar"/>
              </w:rPr>
              <w:t>程序及时进行申报</w:t>
            </w:r>
          </w:p>
        </w:tc>
        <w:tc>
          <w:tcPr>
            <w:tcW w:w="462"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资产处置及时提交拟处置资产申报表、资产处置单及其他申报材料。</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025E6C" w:rsidP="00530978">
            <w:pPr>
              <w:jc w:val="left"/>
              <w:rPr>
                <w:rFonts w:ascii="仿宋" w:eastAsia="仿宋" w:hAnsi="仿宋" w:cs="仿宋"/>
                <w:b/>
                <w:bCs/>
                <w:color w:val="000000"/>
                <w:kern w:val="0"/>
                <w:sz w:val="18"/>
                <w:szCs w:val="18"/>
                <w:lang w:bidi="ar"/>
              </w:rPr>
            </w:pPr>
            <w:r w:rsidRPr="004408B2">
              <w:rPr>
                <w:rFonts w:ascii="仿宋" w:eastAsia="仿宋" w:hAnsi="仿宋" w:cs="仿宋" w:hint="eastAsia"/>
                <w:kern w:val="0"/>
                <w:sz w:val="15"/>
                <w:szCs w:val="15"/>
                <w:lang w:bidi="ar"/>
              </w:rPr>
              <w:t>无需提供</w:t>
            </w:r>
          </w:p>
        </w:tc>
      </w:tr>
      <w:tr w:rsidR="00530978" w:rsidRPr="00530978" w:rsidTr="00586CCA">
        <w:trPr>
          <w:trHeight w:val="560"/>
        </w:trPr>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Merge/>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p>
        </w:tc>
        <w:tc>
          <w:tcPr>
            <w:tcW w:w="462"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拟处置资产自行运送至指定地点。</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公用房屋管理</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13分</w:t>
            </w:r>
          </w:p>
          <w:p w:rsidR="00530978" w:rsidRPr="00530978" w:rsidRDefault="00530978" w:rsidP="00530978">
            <w:pPr>
              <w:widowControl/>
              <w:spacing w:after="120" w:line="21" w:lineRule="atLeast"/>
              <w:jc w:val="center"/>
              <w:rPr>
                <w:rFonts w:ascii="Calibri" w:hAnsi="Calibri"/>
                <w:color w:val="333333"/>
                <w:kern w:val="0"/>
                <w:sz w:val="16"/>
                <w:szCs w:val="16"/>
              </w:rPr>
            </w:pPr>
          </w:p>
        </w:tc>
        <w:tc>
          <w:tcPr>
            <w:tcW w:w="2070"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遵守学校公用房屋管理规定，房屋使用无违规问题</w:t>
            </w:r>
          </w:p>
        </w:tc>
        <w:tc>
          <w:tcPr>
            <w:tcW w:w="462"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5</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严格遵守学校公用房屋管理规定，</w:t>
            </w:r>
            <w:proofErr w:type="gramStart"/>
            <w:r w:rsidRPr="00530978">
              <w:rPr>
                <w:rFonts w:ascii="仿宋" w:eastAsia="仿宋" w:hAnsi="仿宋" w:cs="仿宋" w:hint="eastAsia"/>
                <w:color w:val="333333"/>
                <w:kern w:val="0"/>
                <w:sz w:val="19"/>
                <w:szCs w:val="19"/>
                <w:lang w:bidi="ar"/>
              </w:rPr>
              <w:t>不</w:t>
            </w:r>
            <w:proofErr w:type="gramEnd"/>
            <w:r w:rsidRPr="00530978">
              <w:rPr>
                <w:rFonts w:ascii="仿宋" w:eastAsia="仿宋" w:hAnsi="仿宋" w:cs="仿宋" w:hint="eastAsia"/>
                <w:color w:val="333333"/>
                <w:kern w:val="0"/>
                <w:sz w:val="19"/>
                <w:szCs w:val="19"/>
                <w:lang w:bidi="ar"/>
              </w:rPr>
              <w:t>违规使用房屋，无擅自改变房屋结构情况。</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605"/>
        </w:trPr>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公用房服从学校调配</w:t>
            </w:r>
          </w:p>
        </w:tc>
        <w:tc>
          <w:tcPr>
            <w:tcW w:w="462" w:type="dxa"/>
            <w:vAlign w:val="center"/>
          </w:tcPr>
          <w:p w:rsidR="00530978" w:rsidRPr="00530978" w:rsidRDefault="00530978" w:rsidP="00530978">
            <w:pPr>
              <w:widowControl/>
              <w:spacing w:after="120" w:line="21" w:lineRule="atLeast"/>
              <w:jc w:val="center"/>
              <w:rPr>
                <w:rFonts w:ascii="Calibri" w:hAnsi="Calibri"/>
                <w:color w:val="333333"/>
                <w:kern w:val="0"/>
                <w:sz w:val="16"/>
                <w:szCs w:val="16"/>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Calibri" w:hAnsi="Calibri"/>
                <w:color w:val="333333"/>
                <w:kern w:val="0"/>
                <w:sz w:val="16"/>
                <w:szCs w:val="16"/>
              </w:rPr>
            </w:pPr>
            <w:proofErr w:type="gramStart"/>
            <w:r w:rsidRPr="00530978">
              <w:rPr>
                <w:rFonts w:ascii="仿宋" w:eastAsia="仿宋" w:hAnsi="仿宋" w:cs="仿宋" w:hint="eastAsia"/>
                <w:color w:val="333333"/>
                <w:kern w:val="0"/>
                <w:sz w:val="19"/>
                <w:szCs w:val="19"/>
                <w:lang w:bidi="ar"/>
              </w:rPr>
              <w:t>配合国</w:t>
            </w:r>
            <w:proofErr w:type="gramEnd"/>
            <w:r w:rsidRPr="00530978">
              <w:rPr>
                <w:rFonts w:ascii="仿宋" w:eastAsia="仿宋" w:hAnsi="仿宋" w:cs="仿宋" w:hint="eastAsia"/>
                <w:color w:val="333333"/>
                <w:kern w:val="0"/>
                <w:sz w:val="19"/>
                <w:szCs w:val="19"/>
                <w:lang w:bidi="ar"/>
              </w:rPr>
              <w:t>资处做好公用房屋调配。</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tcPr>
          <w:p w:rsidR="00530978" w:rsidRPr="00530978" w:rsidRDefault="00530978" w:rsidP="00530978">
            <w:pPr>
              <w:jc w:val="left"/>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公用房的使用信息及时更新</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4</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根据人员及房屋用途变动等情况，及时更新系统数据。</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567"/>
        </w:trPr>
        <w:tc>
          <w:tcPr>
            <w:tcW w:w="687" w:type="dxa"/>
            <w:vMerge w:val="restart"/>
            <w:vAlign w:val="center"/>
          </w:tcPr>
          <w:p w:rsidR="00530978" w:rsidRPr="00530978" w:rsidRDefault="00530978" w:rsidP="00530978">
            <w:pPr>
              <w:jc w:val="center"/>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管理绩效</w:t>
            </w:r>
          </w:p>
          <w:p w:rsidR="00530978" w:rsidRPr="00530978" w:rsidRDefault="00530978" w:rsidP="00530978">
            <w:pPr>
              <w:jc w:val="center"/>
              <w:rPr>
                <w:rFonts w:ascii="仿宋" w:eastAsia="仿宋" w:hAnsi="仿宋" w:cs="仿宋"/>
                <w:b/>
                <w:bCs/>
                <w:color w:val="000000"/>
                <w:kern w:val="0"/>
                <w:sz w:val="20"/>
                <w:szCs w:val="21"/>
                <w:lang w:bidi="ar"/>
              </w:rPr>
            </w:pPr>
            <w:r w:rsidRPr="00530978">
              <w:rPr>
                <w:rFonts w:ascii="仿宋" w:eastAsia="仿宋" w:hAnsi="仿宋" w:cs="仿宋" w:hint="eastAsia"/>
                <w:b/>
                <w:bCs/>
                <w:color w:val="000000"/>
                <w:kern w:val="0"/>
                <w:sz w:val="20"/>
                <w:szCs w:val="21"/>
                <w:lang w:bidi="ar"/>
              </w:rPr>
              <w:t>20分</w:t>
            </w: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运行效率</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10分</w:t>
            </w:r>
          </w:p>
        </w:tc>
        <w:tc>
          <w:tcPr>
            <w:tcW w:w="2070"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采购预算执行率</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达到100%得2分</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624"/>
        </w:trPr>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超年限资产的正常使用率</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3</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达到30%的得2分</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613"/>
        </w:trPr>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资产盘活情况</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kern w:val="0"/>
                <w:sz w:val="19"/>
                <w:szCs w:val="19"/>
                <w:lang w:bidi="ar"/>
              </w:rPr>
            </w:pPr>
            <w:r w:rsidRPr="00530978">
              <w:rPr>
                <w:rFonts w:ascii="仿宋" w:eastAsia="仿宋" w:hAnsi="仿宋" w:cs="仿宋" w:hint="eastAsia"/>
                <w:kern w:val="0"/>
                <w:sz w:val="19"/>
                <w:szCs w:val="19"/>
                <w:lang w:bidi="ar"/>
              </w:rPr>
              <w:t>有盘活资产情况得2分</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486"/>
        </w:trPr>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调剂资产使用情况</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2</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有调剂资产情况得2分</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rPr>
          <w:trHeight w:val="531"/>
        </w:trPr>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在用特种设备年检率</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1</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达到100%得1分</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530978" w:rsidP="00530978">
            <w:pPr>
              <w:jc w:val="left"/>
              <w:rPr>
                <w:rFonts w:ascii="仿宋" w:eastAsia="仿宋" w:hAnsi="仿宋" w:cs="仿宋"/>
                <w:b/>
                <w:bCs/>
                <w:color w:val="000000"/>
                <w:kern w:val="0"/>
                <w:sz w:val="18"/>
                <w:szCs w:val="18"/>
                <w:lang w:bidi="ar"/>
              </w:rPr>
            </w:pPr>
          </w:p>
        </w:tc>
      </w:tr>
      <w:tr w:rsidR="00530978" w:rsidRPr="00530978" w:rsidTr="00586CCA">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restart"/>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监督评价</w:t>
            </w:r>
          </w:p>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10分</w:t>
            </w:r>
          </w:p>
        </w:tc>
        <w:tc>
          <w:tcPr>
            <w:tcW w:w="2070"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学校组织检查自行采购情况</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5</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根据检查情况进行评定</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687" w:type="dxa"/>
            <w:vMerge/>
            <w:vAlign w:val="center"/>
          </w:tcPr>
          <w:p w:rsidR="00530978" w:rsidRPr="00530978" w:rsidRDefault="00530978" w:rsidP="00530978">
            <w:pPr>
              <w:jc w:val="center"/>
              <w:rPr>
                <w:rFonts w:ascii="仿宋" w:eastAsia="仿宋" w:hAnsi="仿宋" w:cs="仿宋"/>
                <w:b/>
                <w:bCs/>
                <w:color w:val="000000"/>
                <w:kern w:val="0"/>
                <w:sz w:val="18"/>
                <w:szCs w:val="18"/>
                <w:lang w:bidi="ar"/>
              </w:rPr>
            </w:pPr>
          </w:p>
        </w:tc>
        <w:tc>
          <w:tcPr>
            <w:tcW w:w="1068" w:type="dxa"/>
            <w:vMerge/>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p>
        </w:tc>
        <w:tc>
          <w:tcPr>
            <w:tcW w:w="2070"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学校组织检查各项资产管理情况</w:t>
            </w:r>
          </w:p>
        </w:tc>
        <w:tc>
          <w:tcPr>
            <w:tcW w:w="462" w:type="dxa"/>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5</w:t>
            </w:r>
          </w:p>
        </w:tc>
        <w:tc>
          <w:tcPr>
            <w:tcW w:w="3818" w:type="dxa"/>
            <w:vAlign w:val="center"/>
          </w:tcPr>
          <w:p w:rsidR="00530978" w:rsidRPr="00530978" w:rsidRDefault="00530978" w:rsidP="00530978">
            <w:pPr>
              <w:widowControl/>
              <w:spacing w:after="120" w:line="21" w:lineRule="atLeast"/>
              <w:jc w:val="left"/>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根据检查情况进行评定</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B33831" w:rsidP="00530978">
            <w:pPr>
              <w:jc w:val="left"/>
              <w:rPr>
                <w:rFonts w:ascii="仿宋" w:eastAsia="仿宋" w:hAnsi="仿宋" w:cs="仿宋"/>
                <w:b/>
                <w:bCs/>
                <w:color w:val="000000"/>
                <w:kern w:val="0"/>
                <w:sz w:val="18"/>
                <w:szCs w:val="18"/>
                <w:lang w:bidi="ar"/>
              </w:rPr>
            </w:pPr>
            <w:r>
              <w:rPr>
                <w:rFonts w:ascii="仿宋" w:eastAsia="仿宋" w:hAnsi="仿宋" w:cs="仿宋" w:hint="eastAsia"/>
                <w:kern w:val="0"/>
                <w:sz w:val="15"/>
                <w:szCs w:val="15"/>
                <w:lang w:bidi="ar"/>
              </w:rPr>
              <w:t>无</w:t>
            </w:r>
            <w:r w:rsidRPr="009F701E">
              <w:rPr>
                <w:rFonts w:ascii="仿宋" w:eastAsia="仿宋" w:hAnsi="仿宋" w:cs="仿宋" w:hint="eastAsia"/>
                <w:kern w:val="0"/>
                <w:sz w:val="15"/>
                <w:szCs w:val="15"/>
                <w:lang w:bidi="ar"/>
              </w:rPr>
              <w:t>需提供</w:t>
            </w:r>
          </w:p>
        </w:tc>
      </w:tr>
      <w:tr w:rsidR="00530978" w:rsidRPr="00530978" w:rsidTr="00586CCA">
        <w:tc>
          <w:tcPr>
            <w:tcW w:w="8105" w:type="dxa"/>
            <w:gridSpan w:val="5"/>
            <w:vAlign w:val="center"/>
          </w:tcPr>
          <w:p w:rsidR="00530978" w:rsidRPr="00530978" w:rsidRDefault="00530978" w:rsidP="00530978">
            <w:pPr>
              <w:widowControl/>
              <w:spacing w:after="120" w:line="21" w:lineRule="atLeast"/>
              <w:jc w:val="center"/>
              <w:rPr>
                <w:rFonts w:ascii="仿宋" w:eastAsia="仿宋" w:hAnsi="仿宋" w:cs="仿宋"/>
                <w:color w:val="333333"/>
                <w:kern w:val="0"/>
                <w:sz w:val="19"/>
                <w:szCs w:val="19"/>
                <w:lang w:bidi="ar"/>
              </w:rPr>
            </w:pPr>
            <w:r w:rsidRPr="00530978">
              <w:rPr>
                <w:rFonts w:ascii="仿宋" w:eastAsia="仿宋" w:hAnsi="仿宋" w:cs="仿宋" w:hint="eastAsia"/>
                <w:color w:val="333333"/>
                <w:kern w:val="0"/>
                <w:sz w:val="19"/>
                <w:szCs w:val="19"/>
                <w:lang w:bidi="ar"/>
              </w:rPr>
              <w:t>评价得分合计</w:t>
            </w:r>
          </w:p>
        </w:tc>
        <w:tc>
          <w:tcPr>
            <w:tcW w:w="707" w:type="dxa"/>
          </w:tcPr>
          <w:p w:rsidR="00530978" w:rsidRPr="00530978" w:rsidRDefault="00530978" w:rsidP="00530978">
            <w:pPr>
              <w:jc w:val="left"/>
              <w:rPr>
                <w:rFonts w:ascii="仿宋" w:eastAsia="仿宋" w:hAnsi="仿宋" w:cs="仿宋"/>
                <w:b/>
                <w:bCs/>
                <w:color w:val="000000"/>
                <w:kern w:val="0"/>
                <w:sz w:val="18"/>
                <w:szCs w:val="18"/>
                <w:lang w:bidi="ar"/>
              </w:rPr>
            </w:pPr>
          </w:p>
        </w:tc>
        <w:tc>
          <w:tcPr>
            <w:tcW w:w="994" w:type="dxa"/>
          </w:tcPr>
          <w:p w:rsidR="00530978" w:rsidRPr="00530978" w:rsidRDefault="00530978" w:rsidP="00530978">
            <w:pPr>
              <w:jc w:val="left"/>
              <w:rPr>
                <w:rFonts w:ascii="仿宋" w:eastAsia="仿宋" w:hAnsi="仿宋" w:cs="仿宋"/>
                <w:b/>
                <w:bCs/>
                <w:color w:val="000000"/>
                <w:kern w:val="0"/>
                <w:sz w:val="18"/>
                <w:szCs w:val="18"/>
                <w:lang w:bidi="ar"/>
              </w:rPr>
            </w:pPr>
          </w:p>
        </w:tc>
      </w:tr>
    </w:tbl>
    <w:p w:rsidR="00530978" w:rsidRPr="00530978" w:rsidRDefault="00530978" w:rsidP="00B137A5">
      <w:pPr>
        <w:widowControl/>
        <w:shd w:val="clear" w:color="auto" w:fill="FFFFFF"/>
        <w:spacing w:line="360" w:lineRule="exact"/>
        <w:jc w:val="left"/>
        <w:rPr>
          <w:rFonts w:ascii="仿宋_GB2312" w:eastAsia="仿宋_GB2312" w:hAnsi="仿宋_GB2312" w:cs="仿宋_GB2312"/>
          <w:color w:val="333333"/>
          <w:kern w:val="0"/>
          <w:sz w:val="20"/>
          <w:szCs w:val="20"/>
          <w:shd w:val="clear" w:color="auto" w:fill="FFFFFF"/>
          <w:lang w:bidi="ar"/>
        </w:rPr>
      </w:pPr>
      <w:r w:rsidRPr="00530978">
        <w:rPr>
          <w:rFonts w:ascii="仿宋_GB2312" w:eastAsia="仿宋_GB2312" w:hAnsi="仿宋_GB2312" w:cs="仿宋_GB2312" w:hint="eastAsia"/>
          <w:color w:val="333333"/>
          <w:kern w:val="0"/>
          <w:sz w:val="20"/>
          <w:szCs w:val="20"/>
          <w:shd w:val="clear" w:color="auto" w:fill="FFFFFF"/>
          <w:lang w:bidi="ar"/>
        </w:rPr>
        <w:t>绩效评价指标体系说明：</w:t>
      </w:r>
    </w:p>
    <w:p w:rsidR="00530978" w:rsidRPr="00530978" w:rsidRDefault="00C75ECD" w:rsidP="00B137A5">
      <w:pPr>
        <w:widowControl/>
        <w:shd w:val="clear" w:color="auto" w:fill="FFFFFF"/>
        <w:tabs>
          <w:tab w:val="left" w:pos="312"/>
        </w:tabs>
        <w:spacing w:line="360" w:lineRule="exact"/>
        <w:jc w:val="left"/>
        <w:rPr>
          <w:rFonts w:ascii="仿宋_GB2312" w:eastAsia="仿宋_GB2312" w:hAnsi="仿宋_GB2312" w:cs="仿宋_GB2312"/>
          <w:color w:val="333333"/>
          <w:kern w:val="0"/>
          <w:sz w:val="20"/>
          <w:szCs w:val="20"/>
          <w:shd w:val="clear" w:color="auto" w:fill="FFFFFF"/>
          <w:lang w:bidi="ar"/>
        </w:rPr>
      </w:pPr>
      <w:r>
        <w:rPr>
          <w:rFonts w:ascii="仿宋_GB2312" w:eastAsia="仿宋_GB2312" w:hAnsi="仿宋_GB2312" w:cs="仿宋_GB2312" w:hint="eastAsia"/>
          <w:color w:val="333333"/>
          <w:kern w:val="0"/>
          <w:sz w:val="20"/>
          <w:szCs w:val="20"/>
          <w:shd w:val="clear" w:color="auto" w:fill="FFFFFF"/>
          <w:lang w:bidi="ar"/>
        </w:rPr>
        <w:t>1.</w:t>
      </w:r>
      <w:r w:rsidR="00530978" w:rsidRPr="00530978">
        <w:rPr>
          <w:rFonts w:ascii="仿宋_GB2312" w:eastAsia="仿宋_GB2312" w:hAnsi="仿宋_GB2312" w:cs="仿宋_GB2312" w:hint="eastAsia"/>
          <w:color w:val="333333"/>
          <w:kern w:val="0"/>
          <w:sz w:val="20"/>
          <w:szCs w:val="20"/>
          <w:shd w:val="clear" w:color="auto" w:fill="FFFFFF"/>
          <w:lang w:bidi="ar"/>
        </w:rPr>
        <w:t>表1的使用范围：各二级教学单位、教务处、学工处、校企合作处、实验实训管理处、</w:t>
      </w:r>
      <w:r w:rsidR="00B20DCD">
        <w:rPr>
          <w:rFonts w:ascii="仿宋_GB2312" w:eastAsia="仿宋_GB2312" w:hAnsi="仿宋_GB2312" w:cs="仿宋_GB2312" w:hint="eastAsia"/>
          <w:color w:val="333333"/>
          <w:kern w:val="0"/>
          <w:sz w:val="20"/>
          <w:szCs w:val="20"/>
          <w:shd w:val="clear" w:color="auto" w:fill="FFFFFF"/>
          <w:lang w:bidi="ar"/>
        </w:rPr>
        <w:t>后勤与基建处</w:t>
      </w:r>
      <w:r w:rsidR="00530978" w:rsidRPr="00530978">
        <w:rPr>
          <w:rFonts w:ascii="仿宋_GB2312" w:eastAsia="仿宋_GB2312" w:hAnsi="仿宋_GB2312" w:cs="仿宋_GB2312" w:hint="eastAsia"/>
          <w:color w:val="333333"/>
          <w:kern w:val="0"/>
          <w:sz w:val="20"/>
          <w:szCs w:val="20"/>
          <w:shd w:val="clear" w:color="auto" w:fill="FFFFFF"/>
          <w:lang w:bidi="ar"/>
        </w:rPr>
        <w:t>、</w:t>
      </w:r>
      <w:r w:rsidR="00B20DCD">
        <w:rPr>
          <w:rFonts w:ascii="仿宋_GB2312" w:eastAsia="仿宋_GB2312" w:hAnsi="仿宋_GB2312" w:cs="仿宋_GB2312" w:hint="eastAsia"/>
          <w:color w:val="333333"/>
          <w:kern w:val="0"/>
          <w:sz w:val="20"/>
          <w:szCs w:val="20"/>
          <w:shd w:val="clear" w:color="auto" w:fill="FFFFFF"/>
          <w:lang w:bidi="ar"/>
        </w:rPr>
        <w:t>通识教育学院</w:t>
      </w:r>
      <w:r w:rsidR="00530978" w:rsidRPr="00530978">
        <w:rPr>
          <w:rFonts w:ascii="仿宋_GB2312" w:eastAsia="仿宋_GB2312" w:hAnsi="仿宋_GB2312" w:cs="仿宋_GB2312" w:hint="eastAsia"/>
          <w:color w:val="333333"/>
          <w:kern w:val="0"/>
          <w:sz w:val="20"/>
          <w:szCs w:val="20"/>
          <w:shd w:val="clear" w:color="auto" w:fill="FFFFFF"/>
          <w:lang w:bidi="ar"/>
        </w:rPr>
        <w:t>。</w:t>
      </w:r>
    </w:p>
    <w:p w:rsidR="00530978" w:rsidRPr="00530978" w:rsidRDefault="00C75ECD" w:rsidP="00B137A5">
      <w:pPr>
        <w:widowControl/>
        <w:shd w:val="clear" w:color="auto" w:fill="FFFFFF"/>
        <w:tabs>
          <w:tab w:val="left" w:pos="312"/>
        </w:tabs>
        <w:spacing w:line="360" w:lineRule="exact"/>
        <w:jc w:val="left"/>
        <w:rPr>
          <w:rFonts w:ascii="仿宋_GB2312" w:eastAsia="仿宋_GB2312" w:hAnsi="仿宋_GB2312" w:cs="仿宋_GB2312"/>
          <w:color w:val="333333"/>
          <w:kern w:val="0"/>
          <w:sz w:val="20"/>
          <w:szCs w:val="20"/>
          <w:shd w:val="clear" w:color="auto" w:fill="FFFFFF"/>
          <w:lang w:bidi="ar"/>
        </w:rPr>
      </w:pPr>
      <w:r>
        <w:rPr>
          <w:rFonts w:ascii="仿宋_GB2312" w:eastAsia="仿宋_GB2312" w:hAnsi="仿宋_GB2312" w:cs="仿宋_GB2312" w:hint="eastAsia"/>
          <w:color w:val="333333"/>
          <w:kern w:val="0"/>
          <w:sz w:val="20"/>
          <w:szCs w:val="20"/>
          <w:shd w:val="clear" w:color="auto" w:fill="FFFFFF"/>
          <w:lang w:bidi="ar"/>
        </w:rPr>
        <w:t>2.</w:t>
      </w:r>
      <w:r w:rsidR="00530978" w:rsidRPr="00530978">
        <w:rPr>
          <w:rFonts w:ascii="仿宋_GB2312" w:eastAsia="仿宋_GB2312" w:hAnsi="仿宋_GB2312" w:cs="仿宋_GB2312" w:hint="eastAsia"/>
          <w:color w:val="333333"/>
          <w:kern w:val="0"/>
          <w:sz w:val="20"/>
          <w:szCs w:val="20"/>
          <w:shd w:val="clear" w:color="auto" w:fill="FFFFFF"/>
          <w:lang w:bidi="ar"/>
        </w:rPr>
        <w:t>表2的适用范围：除表1适用单位以外的其他单位（部门）。</w:t>
      </w:r>
    </w:p>
    <w:p w:rsidR="00530978" w:rsidRPr="00C75ECD" w:rsidRDefault="00C75ECD" w:rsidP="00B137A5">
      <w:pPr>
        <w:widowControl/>
        <w:shd w:val="clear" w:color="auto" w:fill="FFFFFF"/>
        <w:tabs>
          <w:tab w:val="left" w:pos="312"/>
        </w:tabs>
        <w:spacing w:line="360" w:lineRule="exact"/>
        <w:jc w:val="left"/>
        <w:rPr>
          <w:rFonts w:ascii="仿宋_GB2312" w:eastAsia="仿宋_GB2312" w:hAnsi="仿宋_GB2312" w:cs="仿宋_GB2312"/>
          <w:color w:val="333333"/>
          <w:kern w:val="0"/>
          <w:sz w:val="20"/>
          <w:szCs w:val="20"/>
          <w:shd w:val="clear" w:color="auto" w:fill="FFFFFF"/>
          <w:lang w:bidi="ar"/>
        </w:rPr>
      </w:pPr>
      <w:r>
        <w:rPr>
          <w:rFonts w:ascii="仿宋_GB2312" w:eastAsia="仿宋_GB2312" w:hAnsi="仿宋_GB2312" w:cs="仿宋_GB2312" w:hint="eastAsia"/>
          <w:color w:val="333333"/>
          <w:kern w:val="0"/>
          <w:sz w:val="20"/>
          <w:szCs w:val="20"/>
          <w:shd w:val="clear" w:color="auto" w:fill="FFFFFF"/>
          <w:lang w:bidi="ar"/>
        </w:rPr>
        <w:t>3.</w:t>
      </w:r>
      <w:r w:rsidR="00530978" w:rsidRPr="00530978">
        <w:rPr>
          <w:rFonts w:ascii="仿宋_GB2312" w:eastAsia="仿宋_GB2312" w:hAnsi="仿宋_GB2312" w:cs="仿宋_GB2312" w:hint="eastAsia"/>
          <w:color w:val="333333"/>
          <w:kern w:val="0"/>
          <w:sz w:val="20"/>
          <w:szCs w:val="20"/>
          <w:shd w:val="clear" w:color="auto" w:fill="FFFFFF"/>
          <w:lang w:bidi="ar"/>
        </w:rPr>
        <w:t>表中一级指标为基础管理和过</w:t>
      </w:r>
      <w:bookmarkStart w:id="0" w:name="_GoBack"/>
      <w:bookmarkEnd w:id="0"/>
      <w:r w:rsidR="00530978" w:rsidRPr="00530978">
        <w:rPr>
          <w:rFonts w:ascii="仿宋_GB2312" w:eastAsia="仿宋_GB2312" w:hAnsi="仿宋_GB2312" w:cs="仿宋_GB2312" w:hint="eastAsia"/>
          <w:color w:val="333333"/>
          <w:kern w:val="0"/>
          <w:sz w:val="20"/>
          <w:szCs w:val="20"/>
          <w:shd w:val="clear" w:color="auto" w:fill="FFFFFF"/>
          <w:lang w:bidi="ar"/>
        </w:rPr>
        <w:t>程管理中，所列项目被评价单位如果当年度没有发生，则按该项目的满分计算。</w:t>
      </w:r>
    </w:p>
    <w:p w:rsidR="00530978" w:rsidRPr="00C75ECD" w:rsidRDefault="00C75ECD" w:rsidP="00B137A5">
      <w:pPr>
        <w:spacing w:line="360" w:lineRule="exact"/>
        <w:rPr>
          <w:rFonts w:ascii="仿宋_GB2312" w:eastAsia="仿宋_GB2312" w:hAnsi="仿宋_GB2312" w:cs="仿宋_GB2312"/>
          <w:color w:val="333333"/>
          <w:kern w:val="0"/>
          <w:sz w:val="20"/>
          <w:szCs w:val="20"/>
          <w:shd w:val="clear" w:color="auto" w:fill="FFFFFF"/>
          <w:lang w:bidi="ar"/>
        </w:rPr>
      </w:pPr>
      <w:r w:rsidRPr="00C75ECD">
        <w:rPr>
          <w:rFonts w:ascii="仿宋_GB2312" w:eastAsia="仿宋_GB2312" w:hAnsi="仿宋_GB2312" w:cs="仿宋_GB2312" w:hint="eastAsia"/>
          <w:color w:val="333333"/>
          <w:kern w:val="0"/>
          <w:sz w:val="20"/>
          <w:szCs w:val="20"/>
          <w:shd w:val="clear" w:color="auto" w:fill="FFFFFF"/>
          <w:lang w:bidi="ar"/>
        </w:rPr>
        <w:t>4.</w:t>
      </w:r>
      <w:r>
        <w:rPr>
          <w:rFonts w:ascii="仿宋_GB2312" w:eastAsia="仿宋_GB2312" w:hAnsi="仿宋_GB2312" w:cs="仿宋_GB2312" w:hint="eastAsia"/>
          <w:color w:val="333333"/>
          <w:kern w:val="0"/>
          <w:sz w:val="20"/>
          <w:szCs w:val="20"/>
          <w:shd w:val="clear" w:color="auto" w:fill="FFFFFF"/>
          <w:lang w:bidi="ar"/>
        </w:rPr>
        <w:t>无需提供：</w:t>
      </w:r>
      <w:r w:rsidR="00C9497C">
        <w:rPr>
          <w:rFonts w:ascii="仿宋_GB2312" w:eastAsia="仿宋_GB2312" w:hAnsi="仿宋_GB2312" w:cs="仿宋_GB2312" w:hint="eastAsia"/>
          <w:color w:val="333333"/>
          <w:kern w:val="0"/>
          <w:sz w:val="20"/>
          <w:szCs w:val="20"/>
          <w:shd w:val="clear" w:color="auto" w:fill="FFFFFF"/>
          <w:lang w:bidi="ar"/>
        </w:rPr>
        <w:t>由国资处根据现有材料或其他相关职能部门提供的材料作为依据。</w:t>
      </w:r>
    </w:p>
    <w:sectPr w:rsidR="00530978" w:rsidRPr="00C75ECD">
      <w:foot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CAF" w:rsidRDefault="00243CAF">
      <w:r>
        <w:separator/>
      </w:r>
    </w:p>
  </w:endnote>
  <w:endnote w:type="continuationSeparator" w:id="0">
    <w:p w:rsidR="00243CAF" w:rsidRDefault="0024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ocXiaoBiaoSong">
    <w:altName w:val="Arial"/>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974672"/>
    </w:sdtPr>
    <w:sdtEndPr/>
    <w:sdtContent>
      <w:sdt>
        <w:sdtPr>
          <w:id w:val="-1669238322"/>
        </w:sdtPr>
        <w:sdtEndPr/>
        <w:sdtContent>
          <w:p w:rsidR="003A6D2E" w:rsidRDefault="00A931B4">
            <w:pPr>
              <w:pStyle w:val="a4"/>
              <w:jc w:val="center"/>
            </w:pPr>
            <w:r>
              <w:rPr>
                <w:lang w:val="zh-CN"/>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CAF" w:rsidRDefault="00243CAF">
      <w:r>
        <w:separator/>
      </w:r>
    </w:p>
  </w:footnote>
  <w:footnote w:type="continuationSeparator" w:id="0">
    <w:p w:rsidR="00243CAF" w:rsidRDefault="00243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EF503C"/>
    <w:multiLevelType w:val="singleLevel"/>
    <w:tmpl w:val="C2EF503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2Y5ZmQ3NjU2NTQ2OGM0Y2ZiNzM4NjZkZTZmMzUifQ=="/>
  </w:docVars>
  <w:rsids>
    <w:rsidRoot w:val="00AC392F"/>
    <w:rsid w:val="00015214"/>
    <w:rsid w:val="00025E6C"/>
    <w:rsid w:val="00052A18"/>
    <w:rsid w:val="000B17D9"/>
    <w:rsid w:val="000C19BC"/>
    <w:rsid w:val="000E1577"/>
    <w:rsid w:val="000F0DFC"/>
    <w:rsid w:val="000F79FE"/>
    <w:rsid w:val="00124C77"/>
    <w:rsid w:val="00137E58"/>
    <w:rsid w:val="00143112"/>
    <w:rsid w:val="0015203B"/>
    <w:rsid w:val="00175D30"/>
    <w:rsid w:val="00182EDD"/>
    <w:rsid w:val="001B0BA1"/>
    <w:rsid w:val="002108BE"/>
    <w:rsid w:val="00216534"/>
    <w:rsid w:val="00243CAF"/>
    <w:rsid w:val="00272B03"/>
    <w:rsid w:val="002930EF"/>
    <w:rsid w:val="002A6BD4"/>
    <w:rsid w:val="002B7B41"/>
    <w:rsid w:val="002D17B5"/>
    <w:rsid w:val="002F0556"/>
    <w:rsid w:val="002F7F40"/>
    <w:rsid w:val="00300DF0"/>
    <w:rsid w:val="003120C4"/>
    <w:rsid w:val="00333641"/>
    <w:rsid w:val="0033451F"/>
    <w:rsid w:val="003528BD"/>
    <w:rsid w:val="0036297A"/>
    <w:rsid w:val="00364533"/>
    <w:rsid w:val="00382DD2"/>
    <w:rsid w:val="003A6D2E"/>
    <w:rsid w:val="003D3D2C"/>
    <w:rsid w:val="003F0489"/>
    <w:rsid w:val="00421926"/>
    <w:rsid w:val="00437615"/>
    <w:rsid w:val="004408B2"/>
    <w:rsid w:val="004A6A67"/>
    <w:rsid w:val="004C54A8"/>
    <w:rsid w:val="00513661"/>
    <w:rsid w:val="00526126"/>
    <w:rsid w:val="00530978"/>
    <w:rsid w:val="0056306B"/>
    <w:rsid w:val="00586CCA"/>
    <w:rsid w:val="00596395"/>
    <w:rsid w:val="005C73A8"/>
    <w:rsid w:val="005F067D"/>
    <w:rsid w:val="00607045"/>
    <w:rsid w:val="006337C7"/>
    <w:rsid w:val="006903D4"/>
    <w:rsid w:val="006A595A"/>
    <w:rsid w:val="006B47F0"/>
    <w:rsid w:val="00705F96"/>
    <w:rsid w:val="00727820"/>
    <w:rsid w:val="0075736E"/>
    <w:rsid w:val="00793A48"/>
    <w:rsid w:val="007A0BB7"/>
    <w:rsid w:val="007D0EA0"/>
    <w:rsid w:val="007D3515"/>
    <w:rsid w:val="0083213B"/>
    <w:rsid w:val="008321E8"/>
    <w:rsid w:val="0085627D"/>
    <w:rsid w:val="00875DAE"/>
    <w:rsid w:val="008771F1"/>
    <w:rsid w:val="008C3338"/>
    <w:rsid w:val="008C41C8"/>
    <w:rsid w:val="008C483A"/>
    <w:rsid w:val="008E11DA"/>
    <w:rsid w:val="008E461D"/>
    <w:rsid w:val="00902358"/>
    <w:rsid w:val="00903A24"/>
    <w:rsid w:val="00917DD1"/>
    <w:rsid w:val="00926026"/>
    <w:rsid w:val="0094354B"/>
    <w:rsid w:val="0095105A"/>
    <w:rsid w:val="00952E3E"/>
    <w:rsid w:val="00953702"/>
    <w:rsid w:val="00984A10"/>
    <w:rsid w:val="00991DC4"/>
    <w:rsid w:val="009F701E"/>
    <w:rsid w:val="00A9023E"/>
    <w:rsid w:val="00A931B4"/>
    <w:rsid w:val="00AC392F"/>
    <w:rsid w:val="00AD749A"/>
    <w:rsid w:val="00AF746F"/>
    <w:rsid w:val="00B137A5"/>
    <w:rsid w:val="00B20DCD"/>
    <w:rsid w:val="00B23FE4"/>
    <w:rsid w:val="00B33831"/>
    <w:rsid w:val="00B47CFA"/>
    <w:rsid w:val="00B55336"/>
    <w:rsid w:val="00B75C79"/>
    <w:rsid w:val="00BB27E5"/>
    <w:rsid w:val="00BD51FA"/>
    <w:rsid w:val="00C03A60"/>
    <w:rsid w:val="00C06C82"/>
    <w:rsid w:val="00C53625"/>
    <w:rsid w:val="00C658F6"/>
    <w:rsid w:val="00C75ECD"/>
    <w:rsid w:val="00C76271"/>
    <w:rsid w:val="00C9231E"/>
    <w:rsid w:val="00C9497C"/>
    <w:rsid w:val="00CB7CD0"/>
    <w:rsid w:val="00CE17FF"/>
    <w:rsid w:val="00CE66E5"/>
    <w:rsid w:val="00D26B90"/>
    <w:rsid w:val="00D2766C"/>
    <w:rsid w:val="00D37C6A"/>
    <w:rsid w:val="00D50D5B"/>
    <w:rsid w:val="00D954B9"/>
    <w:rsid w:val="00D97AF5"/>
    <w:rsid w:val="00DA1126"/>
    <w:rsid w:val="00E11076"/>
    <w:rsid w:val="00E16F18"/>
    <w:rsid w:val="00E17E08"/>
    <w:rsid w:val="00E521E1"/>
    <w:rsid w:val="00E95250"/>
    <w:rsid w:val="00E9597D"/>
    <w:rsid w:val="00EA4E31"/>
    <w:rsid w:val="00EA5E7C"/>
    <w:rsid w:val="00EC3FC0"/>
    <w:rsid w:val="00ED43C1"/>
    <w:rsid w:val="00EE11A4"/>
    <w:rsid w:val="00F12C61"/>
    <w:rsid w:val="00FB337E"/>
    <w:rsid w:val="00FE17B8"/>
    <w:rsid w:val="233A0AA7"/>
    <w:rsid w:val="27E56A45"/>
    <w:rsid w:val="6A9B0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rsid w:val="0083213B"/>
    <w:pPr>
      <w:widowControl w:val="0"/>
      <w:autoSpaceDE w:val="0"/>
      <w:autoSpaceDN w:val="0"/>
      <w:adjustRightInd w:val="0"/>
    </w:pPr>
    <w:rPr>
      <w:rFonts w:ascii="FZDocXiaoBiaoSong" w:hAnsi="FZDocXiaoBiaoSong" w:cs="FZDocXiaoBiaoSong"/>
      <w:color w:val="000000"/>
      <w:sz w:val="24"/>
      <w:szCs w:val="24"/>
    </w:rPr>
  </w:style>
  <w:style w:type="paragraph" w:styleId="a7">
    <w:name w:val="Normal (Web)"/>
    <w:basedOn w:val="a"/>
    <w:qFormat/>
    <w:rsid w:val="0085627D"/>
    <w:pPr>
      <w:spacing w:beforeAutospacing="1" w:afterAutospacing="1"/>
      <w:jc w:val="left"/>
    </w:pPr>
    <w:rPr>
      <w:rFonts w:cs="Times New Roman"/>
      <w:kern w:val="0"/>
      <w:sz w:val="24"/>
      <w:szCs w:val="24"/>
    </w:rPr>
  </w:style>
  <w:style w:type="paragraph" w:styleId="a8">
    <w:name w:val="Date"/>
    <w:basedOn w:val="a"/>
    <w:next w:val="a"/>
    <w:link w:val="Char2"/>
    <w:uiPriority w:val="99"/>
    <w:semiHidden/>
    <w:unhideWhenUsed/>
    <w:rsid w:val="00530978"/>
    <w:pPr>
      <w:ind w:leftChars="2500" w:left="100"/>
    </w:pPr>
  </w:style>
  <w:style w:type="character" w:customStyle="1" w:styleId="Char2">
    <w:name w:val="日期 Char"/>
    <w:basedOn w:val="a0"/>
    <w:link w:val="a8"/>
    <w:uiPriority w:val="99"/>
    <w:semiHidden/>
    <w:rsid w:val="00530978"/>
    <w:rPr>
      <w:kern w:val="2"/>
      <w:sz w:val="21"/>
      <w:szCs w:val="22"/>
    </w:rPr>
  </w:style>
  <w:style w:type="table" w:styleId="a9">
    <w:name w:val="Table Grid"/>
    <w:basedOn w:val="a1"/>
    <w:uiPriority w:val="59"/>
    <w:rsid w:val="00530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9"/>
    <w:qFormat/>
    <w:rsid w:val="0053097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customStyle="1" w:styleId="Default">
    <w:name w:val="Default"/>
    <w:rsid w:val="0083213B"/>
    <w:pPr>
      <w:widowControl w:val="0"/>
      <w:autoSpaceDE w:val="0"/>
      <w:autoSpaceDN w:val="0"/>
      <w:adjustRightInd w:val="0"/>
    </w:pPr>
    <w:rPr>
      <w:rFonts w:ascii="FZDocXiaoBiaoSong" w:hAnsi="FZDocXiaoBiaoSong" w:cs="FZDocXiaoBiaoSong"/>
      <w:color w:val="000000"/>
      <w:sz w:val="24"/>
      <w:szCs w:val="24"/>
    </w:rPr>
  </w:style>
  <w:style w:type="paragraph" w:styleId="a7">
    <w:name w:val="Normal (Web)"/>
    <w:basedOn w:val="a"/>
    <w:qFormat/>
    <w:rsid w:val="0085627D"/>
    <w:pPr>
      <w:spacing w:beforeAutospacing="1" w:afterAutospacing="1"/>
      <w:jc w:val="left"/>
    </w:pPr>
    <w:rPr>
      <w:rFonts w:cs="Times New Roman"/>
      <w:kern w:val="0"/>
      <w:sz w:val="24"/>
      <w:szCs w:val="24"/>
    </w:rPr>
  </w:style>
  <w:style w:type="paragraph" w:styleId="a8">
    <w:name w:val="Date"/>
    <w:basedOn w:val="a"/>
    <w:next w:val="a"/>
    <w:link w:val="Char2"/>
    <w:uiPriority w:val="99"/>
    <w:semiHidden/>
    <w:unhideWhenUsed/>
    <w:rsid w:val="00530978"/>
    <w:pPr>
      <w:ind w:leftChars="2500" w:left="100"/>
    </w:pPr>
  </w:style>
  <w:style w:type="character" w:customStyle="1" w:styleId="Char2">
    <w:name w:val="日期 Char"/>
    <w:basedOn w:val="a0"/>
    <w:link w:val="a8"/>
    <w:uiPriority w:val="99"/>
    <w:semiHidden/>
    <w:rsid w:val="00530978"/>
    <w:rPr>
      <w:kern w:val="2"/>
      <w:sz w:val="21"/>
      <w:szCs w:val="22"/>
    </w:rPr>
  </w:style>
  <w:style w:type="table" w:styleId="a9">
    <w:name w:val="Table Grid"/>
    <w:basedOn w:val="a1"/>
    <w:uiPriority w:val="59"/>
    <w:rsid w:val="00530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9"/>
    <w:qFormat/>
    <w:rsid w:val="0053097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00153">
      <w:bodyDiv w:val="1"/>
      <w:marLeft w:val="0"/>
      <w:marRight w:val="0"/>
      <w:marTop w:val="0"/>
      <w:marBottom w:val="0"/>
      <w:divBdr>
        <w:top w:val="none" w:sz="0" w:space="0" w:color="auto"/>
        <w:left w:val="none" w:sz="0" w:space="0" w:color="auto"/>
        <w:bottom w:val="none" w:sz="0" w:space="0" w:color="auto"/>
        <w:right w:val="none" w:sz="0" w:space="0" w:color="auto"/>
      </w:divBdr>
      <w:divsChild>
        <w:div w:id="2009747800">
          <w:marLeft w:val="0"/>
          <w:marRight w:val="0"/>
          <w:marTop w:val="450"/>
          <w:marBottom w:val="0"/>
          <w:divBdr>
            <w:top w:val="none" w:sz="0" w:space="0" w:color="auto"/>
            <w:left w:val="none" w:sz="0" w:space="0" w:color="auto"/>
            <w:bottom w:val="none" w:sz="0" w:space="0" w:color="auto"/>
            <w:right w:val="none" w:sz="0" w:space="0" w:color="auto"/>
          </w:divBdr>
          <w:divsChild>
            <w:div w:id="1432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68F3D-C9B1-4EDF-8054-2F13E315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545</Words>
  <Characters>3113</Characters>
  <Application>Microsoft Office Word</Application>
  <DocSecurity>0</DocSecurity>
  <Lines>25</Lines>
  <Paragraphs>7</Paragraphs>
  <ScaleCrop>false</ScaleCrop>
  <Company>Microsoft</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166</cp:revision>
  <cp:lastPrinted>2023-11-30T02:59:00Z</cp:lastPrinted>
  <dcterms:created xsi:type="dcterms:W3CDTF">2023-05-19T05:57:00Z</dcterms:created>
  <dcterms:modified xsi:type="dcterms:W3CDTF">2024-11-06T06:40:00Z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727481A31E38479C842462A75F459F58_13</vt:lpwstr>
  </property>
</Properties>
</file>